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3" w:type="dxa"/>
        <w:jc w:val="center"/>
        <w:tblBorders>
          <w:top w:val="double" w:sz="4" w:space="0" w:color="00A94F"/>
          <w:left w:val="double" w:sz="4" w:space="0" w:color="00A94F"/>
          <w:bottom w:val="double" w:sz="4" w:space="0" w:color="00A94F"/>
          <w:right w:val="double" w:sz="4" w:space="0" w:color="00A94F"/>
          <w:insideH w:val="double" w:sz="4" w:space="0" w:color="00A94F"/>
          <w:insideV w:val="double" w:sz="4" w:space="0" w:color="00A94F"/>
        </w:tblBorders>
        <w:shd w:val="clear" w:color="auto" w:fill="00A94F"/>
        <w:tblCellMar>
          <w:left w:w="99" w:type="dxa"/>
          <w:right w:w="99" w:type="dxa"/>
        </w:tblCellMar>
        <w:tblLook w:val="0000" w:firstRow="0" w:lastRow="0" w:firstColumn="0" w:lastColumn="0" w:noHBand="0" w:noVBand="0"/>
      </w:tblPr>
      <w:tblGrid>
        <w:gridCol w:w="8923"/>
      </w:tblGrid>
      <w:tr w:rsidR="00547981" w:rsidRPr="00D745CB" w:rsidTr="00D745CB">
        <w:trPr>
          <w:trHeight w:val="689"/>
          <w:jc w:val="center"/>
        </w:trPr>
        <w:tc>
          <w:tcPr>
            <w:tcW w:w="8923" w:type="dxa"/>
            <w:shd w:val="clear" w:color="auto" w:fill="00A94F"/>
            <w:vAlign w:val="center"/>
          </w:tcPr>
          <w:p w:rsidR="00547981" w:rsidRPr="00D745CB" w:rsidRDefault="00F40BAB" w:rsidP="00051719">
            <w:pPr>
              <w:spacing w:line="400" w:lineRule="exact"/>
              <w:jc w:val="center"/>
              <w:rPr>
                <w:rFonts w:ascii="나눔바른고딕" w:eastAsia="나눔바른고딕" w:hAnsi="나눔바른고딕"/>
                <w:b/>
                <w:color w:val="FFFFFF"/>
                <w:sz w:val="36"/>
                <w:szCs w:val="36"/>
              </w:rPr>
            </w:pPr>
            <w:r w:rsidRPr="00D745CB">
              <w:rPr>
                <w:rFonts w:ascii="나눔바른고딕" w:eastAsia="나눔바른고딕" w:hAnsi="나눔바른고딕" w:hint="eastAsia"/>
                <w:b/>
                <w:color w:val="FFFFFF"/>
                <w:sz w:val="36"/>
                <w:szCs w:val="36"/>
              </w:rPr>
              <w:t>투자</w:t>
            </w:r>
            <w:r w:rsidR="00051719" w:rsidRPr="00D745CB">
              <w:rPr>
                <w:rFonts w:ascii="나눔바른고딕" w:eastAsia="나눔바른고딕" w:hAnsi="나눔바른고딕" w:hint="eastAsia"/>
                <w:b/>
                <w:color w:val="FFFFFF"/>
                <w:sz w:val="36"/>
                <w:szCs w:val="36"/>
              </w:rPr>
              <w:t>설명</w:t>
            </w:r>
            <w:r w:rsidR="00BC4D6C" w:rsidRPr="00D745CB">
              <w:rPr>
                <w:rFonts w:ascii="나눔바른고딕" w:eastAsia="나눔바른고딕" w:hAnsi="나눔바른고딕" w:hint="eastAsia"/>
                <w:b/>
                <w:color w:val="FFFFFF"/>
                <w:sz w:val="36"/>
                <w:szCs w:val="36"/>
              </w:rPr>
              <w:t>서</w:t>
            </w:r>
            <w:r w:rsidR="00CB0BD7" w:rsidRPr="00D745CB">
              <w:rPr>
                <w:rFonts w:ascii="나눔바른고딕" w:eastAsia="나눔바른고딕" w:hAnsi="나눔바른고딕" w:hint="eastAsia"/>
                <w:b/>
                <w:color w:val="FFFFFF"/>
                <w:sz w:val="36"/>
                <w:szCs w:val="36"/>
              </w:rPr>
              <w:t xml:space="preserve"> 변경 내용</w:t>
            </w:r>
          </w:p>
        </w:tc>
      </w:tr>
    </w:tbl>
    <w:p w:rsidR="00547981" w:rsidRPr="00D745CB" w:rsidRDefault="00547981" w:rsidP="00547981">
      <w:pPr>
        <w:rPr>
          <w:rFonts w:ascii="나눔바른고딕" w:eastAsia="나눔바른고딕" w:hAnsi="나눔바른고딕"/>
          <w:szCs w:val="20"/>
        </w:rPr>
      </w:pPr>
    </w:p>
    <w:p w:rsidR="008C7F92" w:rsidRPr="0083115F" w:rsidRDefault="008C7F92" w:rsidP="006254B4">
      <w:pPr>
        <w:spacing w:line="400" w:lineRule="exact"/>
        <w:rPr>
          <w:rFonts w:ascii="나눔바른고딕" w:eastAsia="나눔바른고딕" w:hAnsi="나눔바른고딕"/>
          <w:szCs w:val="20"/>
        </w:rPr>
      </w:pPr>
      <w:r w:rsidRPr="0083115F">
        <w:rPr>
          <w:rFonts w:ascii="나눔바른고딕" w:eastAsia="나눔바른고딕" w:hAnsi="나눔바른고딕" w:hint="eastAsia"/>
          <w:b/>
          <w:szCs w:val="20"/>
        </w:rPr>
        <w:t>□ 대상펀드명</w:t>
      </w:r>
      <w:r w:rsidRPr="0083115F">
        <w:rPr>
          <w:rFonts w:ascii="나눔바른고딕" w:eastAsia="나눔바른고딕" w:hAnsi="나눔바른고딕" w:hint="eastAsia"/>
          <w:szCs w:val="20"/>
        </w:rPr>
        <w:t xml:space="preserve"> : 트러스톤</w:t>
      </w:r>
      <w:r w:rsidR="006426CF" w:rsidRPr="0083115F">
        <w:rPr>
          <w:rFonts w:ascii="나눔바른고딕" w:eastAsia="나눔바른고딕" w:hAnsi="나눔바른고딕" w:hint="eastAsia"/>
          <w:szCs w:val="20"/>
        </w:rPr>
        <w:t xml:space="preserve"> </w:t>
      </w:r>
      <w:r w:rsidR="00FB20B8">
        <w:rPr>
          <w:rFonts w:ascii="나눔바른고딕" w:eastAsia="나눔바른고딕" w:hAnsi="나눔바른고딕" w:hint="eastAsia"/>
          <w:szCs w:val="20"/>
        </w:rPr>
        <w:t>다이나믹아시아</w:t>
      </w:r>
      <w:r w:rsidR="00E15089" w:rsidRPr="0083115F">
        <w:rPr>
          <w:rFonts w:ascii="나눔바른고딕" w:eastAsia="나눔바른고딕" w:hAnsi="나눔바른고딕" w:hint="eastAsia"/>
          <w:szCs w:val="20"/>
        </w:rPr>
        <w:t xml:space="preserve"> </w:t>
      </w:r>
      <w:r w:rsidRPr="0083115F">
        <w:rPr>
          <w:rFonts w:ascii="나눔바른고딕" w:eastAsia="나눔바른고딕" w:hAnsi="나눔바른고딕" w:hint="eastAsia"/>
          <w:szCs w:val="20"/>
        </w:rPr>
        <w:t>증권</w:t>
      </w:r>
      <w:r w:rsidR="00FB20B8">
        <w:rPr>
          <w:rFonts w:ascii="나눔바른고딕" w:eastAsia="나눔바른고딕" w:hAnsi="나눔바른고딕" w:hint="eastAsia"/>
          <w:szCs w:val="20"/>
        </w:rPr>
        <w:t>자</w:t>
      </w:r>
      <w:r w:rsidRPr="0083115F">
        <w:rPr>
          <w:rFonts w:ascii="나눔바른고딕" w:eastAsia="나눔바른고딕" w:hAnsi="나눔바른고딕" w:hint="eastAsia"/>
          <w:szCs w:val="20"/>
        </w:rPr>
        <w:t>투자신탁[</w:t>
      </w:r>
      <w:r w:rsidR="00FB20B8">
        <w:rPr>
          <w:rFonts w:ascii="나눔바른고딕" w:eastAsia="나눔바른고딕" w:hAnsi="나눔바른고딕" w:hint="eastAsia"/>
          <w:szCs w:val="20"/>
        </w:rPr>
        <w:t>주식혼합-파생형</w:t>
      </w:r>
      <w:r w:rsidRPr="0083115F">
        <w:rPr>
          <w:rFonts w:ascii="나눔바른고딕" w:eastAsia="나눔바른고딕" w:hAnsi="나눔바른고딕" w:hint="eastAsia"/>
          <w:szCs w:val="20"/>
        </w:rPr>
        <w:t>]</w:t>
      </w:r>
    </w:p>
    <w:p w:rsidR="001906E4" w:rsidRDefault="004C16B1" w:rsidP="00F01CA6">
      <w:pPr>
        <w:spacing w:beforeLines="20" w:before="72" w:line="400" w:lineRule="exact"/>
        <w:ind w:left="357" w:hangingChars="200" w:hanging="357"/>
        <w:rPr>
          <w:rFonts w:ascii="나눔바른고딕" w:eastAsia="나눔바른고딕" w:hAnsi="나눔바른고딕"/>
          <w:b/>
          <w:szCs w:val="20"/>
        </w:rPr>
      </w:pPr>
      <w:r w:rsidRPr="0083115F">
        <w:rPr>
          <w:rFonts w:ascii="나눔바른고딕" w:eastAsia="나눔바른고딕" w:hAnsi="나눔바른고딕" w:hint="eastAsia"/>
          <w:b/>
          <w:szCs w:val="20"/>
        </w:rPr>
        <w:t xml:space="preserve">□ 변경 사유 </w:t>
      </w:r>
      <w:r w:rsidR="0083115F" w:rsidRPr="0083115F">
        <w:rPr>
          <w:rFonts w:ascii="나눔바른고딕" w:eastAsia="나눔바른고딕" w:hAnsi="나눔바른고딕" w:hint="eastAsia"/>
          <w:b/>
          <w:szCs w:val="20"/>
        </w:rPr>
        <w:t>:</w:t>
      </w:r>
      <w:r w:rsidR="00DA075A">
        <w:rPr>
          <w:rFonts w:ascii="나눔바른고딕" w:eastAsia="나눔바른고딕" w:hAnsi="나눔바른고딕" w:hint="eastAsia"/>
          <w:b/>
          <w:szCs w:val="20"/>
        </w:rPr>
        <w:t xml:space="preserve"> </w:t>
      </w:r>
      <w:r w:rsidR="001906E4" w:rsidRPr="001906E4">
        <w:rPr>
          <w:rFonts w:ascii="나눔바른고딕" w:eastAsia="나눔바른고딕" w:hAnsi="나눔바른고딕" w:hint="eastAsia"/>
          <w:szCs w:val="20"/>
        </w:rPr>
        <w:t>① 채권 부책임운용전문인력 삭제 (문성호, 전춘봉 → 문성호)</w:t>
      </w:r>
    </w:p>
    <w:p w:rsidR="005E405E" w:rsidRPr="0083115F" w:rsidRDefault="001906E4" w:rsidP="001906E4">
      <w:pPr>
        <w:spacing w:beforeLines="20" w:before="72" w:line="400" w:lineRule="exact"/>
        <w:ind w:leftChars="178" w:left="356" w:firstLineChars="539" w:firstLine="962"/>
        <w:rPr>
          <w:rFonts w:ascii="나눔바른고딕" w:eastAsia="나눔바른고딕" w:hAnsi="나눔바른고딕"/>
          <w:szCs w:val="20"/>
        </w:rPr>
      </w:pPr>
      <w:r>
        <w:rPr>
          <w:rFonts w:ascii="나눔바른고딕" w:eastAsia="나눔바른고딕" w:hAnsi="나눔바른고딕" w:hint="eastAsia"/>
          <w:szCs w:val="20"/>
        </w:rPr>
        <w:t xml:space="preserve">② </w:t>
      </w:r>
      <w:r w:rsidR="00DA075A" w:rsidRPr="00DA075A">
        <w:rPr>
          <w:rFonts w:ascii="나눔바른고딕" w:eastAsia="나눔바른고딕" w:hAnsi="나눔바른고딕" w:hint="eastAsia"/>
          <w:szCs w:val="20"/>
        </w:rPr>
        <w:t>제1기 제무재표 확정에 따른 갱</w:t>
      </w:r>
      <w:r w:rsidR="00DA075A">
        <w:rPr>
          <w:rFonts w:ascii="나눔바른고딕" w:eastAsia="나눔바른고딕" w:hAnsi="나눔바른고딕" w:hint="eastAsia"/>
          <w:szCs w:val="20"/>
        </w:rPr>
        <w:t>신</w:t>
      </w:r>
    </w:p>
    <w:p w:rsidR="005E405E" w:rsidRPr="0083115F" w:rsidRDefault="005E405E" w:rsidP="005E405E">
      <w:pPr>
        <w:spacing w:beforeLines="20" w:before="72" w:line="400" w:lineRule="exact"/>
        <w:rPr>
          <w:rFonts w:ascii="나눔바른고딕" w:eastAsia="나눔바른고딕" w:hAnsi="나눔바른고딕"/>
          <w:szCs w:val="20"/>
        </w:rPr>
      </w:pPr>
      <w:r w:rsidRPr="0083115F">
        <w:rPr>
          <w:rFonts w:ascii="나눔바른고딕" w:eastAsia="나눔바른고딕" w:hAnsi="나눔바른고딕" w:hint="eastAsia"/>
          <w:b/>
          <w:szCs w:val="20"/>
        </w:rPr>
        <w:t xml:space="preserve">□ 효력발생일 </w:t>
      </w:r>
      <w:r w:rsidR="00DA075A">
        <w:rPr>
          <w:rFonts w:ascii="나눔바른고딕" w:eastAsia="나눔바른고딕" w:hAnsi="나눔바른고딕" w:hint="eastAsia"/>
          <w:szCs w:val="20"/>
        </w:rPr>
        <w:t xml:space="preserve">: </w:t>
      </w:r>
      <w:r w:rsidR="00291506">
        <w:rPr>
          <w:rFonts w:ascii="나눔바른고딕" w:eastAsia="나눔바른고딕" w:hAnsi="나눔바른고딕" w:hint="eastAsia"/>
          <w:szCs w:val="20"/>
        </w:rPr>
        <w:t>2018. 2. 28.</w:t>
      </w:r>
      <w:bookmarkStart w:id="0" w:name="_GoBack"/>
      <w:bookmarkEnd w:id="0"/>
    </w:p>
    <w:p w:rsidR="005E405E" w:rsidRPr="0083115F" w:rsidRDefault="005E405E" w:rsidP="005E405E">
      <w:pPr>
        <w:spacing w:beforeLines="20" w:before="72" w:afterLines="20" w:after="72" w:line="400" w:lineRule="exact"/>
        <w:rPr>
          <w:rFonts w:ascii="나눔바른고딕" w:eastAsia="나눔바른고딕" w:hAnsi="나눔바른고딕"/>
          <w:b/>
          <w:szCs w:val="20"/>
        </w:rPr>
      </w:pPr>
      <w:r w:rsidRPr="0083115F">
        <w:rPr>
          <w:rFonts w:ascii="나눔바른고딕" w:eastAsia="나눔바른고딕" w:hAnsi="나눔바른고딕" w:hint="eastAsia"/>
          <w:b/>
          <w:szCs w:val="20"/>
        </w:rPr>
        <w:t>□ 변경 내용</w:t>
      </w:r>
    </w:p>
    <w:tbl>
      <w:tblPr>
        <w:tblW w:w="9060" w:type="dxa"/>
        <w:tblBorders>
          <w:top w:val="single" w:sz="12"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2235"/>
        <w:gridCol w:w="2265"/>
        <w:gridCol w:w="2310"/>
      </w:tblGrid>
      <w:tr w:rsidR="00DA075A" w:rsidRPr="00DA075A" w:rsidTr="00DA075A">
        <w:trPr>
          <w:trHeight w:val="255"/>
        </w:trPr>
        <w:tc>
          <w:tcPr>
            <w:tcW w:w="2250" w:type="dxa"/>
            <w:shd w:val="clear" w:color="auto" w:fill="DCDCDC"/>
            <w:tcMar>
              <w:top w:w="30" w:type="dxa"/>
              <w:left w:w="60" w:type="dxa"/>
              <w:bottom w:w="0" w:type="dxa"/>
              <w:right w:w="60" w:type="dxa"/>
            </w:tcMar>
            <w:vAlign w:val="center"/>
            <w:hideMark/>
          </w:tcPr>
          <w:p w:rsidR="00DA075A" w:rsidRPr="00DA075A" w:rsidRDefault="00DA075A" w:rsidP="00DA075A">
            <w:pPr>
              <w:widowControl/>
              <w:autoSpaceDE/>
              <w:autoSpaceDN/>
              <w:spacing w:after="90" w:line="384" w:lineRule="atLeast"/>
              <w:jc w:val="center"/>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항  목</w:t>
            </w:r>
          </w:p>
        </w:tc>
        <w:tc>
          <w:tcPr>
            <w:tcW w:w="2235" w:type="dxa"/>
            <w:shd w:val="clear" w:color="auto" w:fill="DCDCDC"/>
            <w:tcMar>
              <w:top w:w="30" w:type="dxa"/>
              <w:left w:w="60" w:type="dxa"/>
              <w:bottom w:w="0" w:type="dxa"/>
              <w:right w:w="60" w:type="dxa"/>
            </w:tcMar>
            <w:vAlign w:val="center"/>
            <w:hideMark/>
          </w:tcPr>
          <w:p w:rsidR="00DA075A" w:rsidRPr="00DA075A" w:rsidRDefault="00DA075A" w:rsidP="00DA075A">
            <w:pPr>
              <w:widowControl/>
              <w:autoSpaceDE/>
              <w:autoSpaceDN/>
              <w:spacing w:after="90" w:line="384" w:lineRule="atLeast"/>
              <w:jc w:val="center"/>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정정사유 </w:t>
            </w:r>
          </w:p>
        </w:tc>
        <w:tc>
          <w:tcPr>
            <w:tcW w:w="2265" w:type="dxa"/>
            <w:shd w:val="clear" w:color="auto" w:fill="DCDCDC"/>
            <w:tcMar>
              <w:top w:w="30" w:type="dxa"/>
              <w:left w:w="60" w:type="dxa"/>
              <w:bottom w:w="0" w:type="dxa"/>
              <w:right w:w="60" w:type="dxa"/>
            </w:tcMar>
            <w:vAlign w:val="center"/>
            <w:hideMark/>
          </w:tcPr>
          <w:p w:rsidR="00DA075A" w:rsidRPr="00DA075A" w:rsidRDefault="00DA075A" w:rsidP="00DA075A">
            <w:pPr>
              <w:widowControl/>
              <w:autoSpaceDE/>
              <w:autoSpaceDN/>
              <w:spacing w:after="90" w:line="384" w:lineRule="atLeast"/>
              <w:jc w:val="center"/>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정 정 전</w:t>
            </w:r>
          </w:p>
        </w:tc>
        <w:tc>
          <w:tcPr>
            <w:tcW w:w="2310" w:type="dxa"/>
            <w:shd w:val="clear" w:color="auto" w:fill="DCDCDC"/>
            <w:tcMar>
              <w:top w:w="30" w:type="dxa"/>
              <w:left w:w="60" w:type="dxa"/>
              <w:bottom w:w="0" w:type="dxa"/>
              <w:right w:w="60" w:type="dxa"/>
            </w:tcMar>
            <w:vAlign w:val="center"/>
            <w:hideMark/>
          </w:tcPr>
          <w:p w:rsidR="00DA075A" w:rsidRPr="00DA075A" w:rsidRDefault="00DA075A" w:rsidP="00DA075A">
            <w:pPr>
              <w:widowControl/>
              <w:autoSpaceDE/>
              <w:autoSpaceDN/>
              <w:spacing w:after="90" w:line="384" w:lineRule="atLeast"/>
              <w:jc w:val="center"/>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정 정 후</w:t>
            </w:r>
          </w:p>
        </w:tc>
      </w:tr>
      <w:tr w:rsidR="00DA075A" w:rsidRPr="00DA075A" w:rsidTr="00DA075A">
        <w:trPr>
          <w:trHeight w:val="255"/>
        </w:trPr>
        <w:tc>
          <w:tcPr>
            <w:tcW w:w="9060" w:type="dxa"/>
            <w:gridSpan w:val="4"/>
            <w:tcMar>
              <w:top w:w="30" w:type="dxa"/>
              <w:left w:w="60" w:type="dxa"/>
              <w:bottom w:w="0" w:type="dxa"/>
              <w:right w:w="60" w:type="dxa"/>
            </w:tcMar>
            <w:vAlign w:val="center"/>
            <w:hideMark/>
          </w:tcPr>
          <w:p w:rsidR="00DA075A" w:rsidRPr="00DA075A" w:rsidRDefault="00DA075A" w:rsidP="00DA075A">
            <w:pPr>
              <w:widowControl/>
              <w:autoSpaceDE/>
              <w:autoSpaceDN/>
              <w:spacing w:after="90"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요약정보</w:t>
            </w:r>
          </w:p>
        </w:tc>
      </w:tr>
      <w:tr w:rsidR="00DA075A" w:rsidRPr="00DA075A" w:rsidTr="00DA075A">
        <w:trPr>
          <w:trHeight w:val="306"/>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Ⅰ. 집합투자기구의 개요_보수</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재무재표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r w:rsidR="00DA075A" w:rsidRPr="00DA075A" w:rsidTr="00DA075A">
        <w:trPr>
          <w:trHeight w:val="129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Ⅱ. 집합투자기구의 투자정보</w:t>
            </w:r>
            <w:r w:rsidRPr="00DA075A">
              <w:rPr>
                <w:rFonts w:ascii="나눔바른고딕" w:eastAsia="나눔바른고딕" w:hAnsi="나눔바른고딕" w:cs="굴림" w:hint="eastAsia"/>
                <w:color w:val="000000"/>
                <w:kern w:val="0"/>
                <w:szCs w:val="20"/>
              </w:rPr>
              <w:br/>
              <w:t>[1]. 투자전략</w:t>
            </w:r>
            <w:r w:rsidRPr="00DA075A">
              <w:rPr>
                <w:rFonts w:ascii="나눔바른고딕" w:eastAsia="나눔바른고딕" w:hAnsi="나눔바른고딕" w:cs="굴림" w:hint="eastAsia"/>
                <w:color w:val="000000"/>
                <w:kern w:val="0"/>
                <w:szCs w:val="20"/>
              </w:rPr>
              <w:br/>
              <w:t>2. 투자전략</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예시 투자비중 변경</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&lt;정정 전&gt;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&lt;정정 후&gt;</w:t>
            </w:r>
          </w:p>
        </w:tc>
      </w:tr>
      <w:tr w:rsidR="00DA075A" w:rsidRPr="00DA075A" w:rsidTr="00DA075A">
        <w:trPr>
          <w:trHeight w:val="129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Ⅱ. 집합투자기구의 투자정보</w:t>
            </w:r>
            <w:r w:rsidRPr="00DA075A">
              <w:rPr>
                <w:rFonts w:ascii="나눔바른고딕" w:eastAsia="나눔바른고딕" w:hAnsi="나눔바른고딕" w:cs="굴림" w:hint="eastAsia"/>
                <w:color w:val="000000"/>
                <w:kern w:val="0"/>
                <w:szCs w:val="20"/>
              </w:rPr>
              <w:br/>
              <w:t>[1]. 투자전략</w:t>
            </w:r>
            <w:r w:rsidRPr="00DA075A">
              <w:rPr>
                <w:rFonts w:ascii="나눔바른고딕" w:eastAsia="나눔바른고딕" w:hAnsi="나눔바른고딕" w:cs="굴림" w:hint="eastAsia"/>
                <w:color w:val="000000"/>
                <w:kern w:val="0"/>
                <w:szCs w:val="20"/>
              </w:rPr>
              <w:br/>
              <w:t>4. 운용전문인력</w:t>
            </w:r>
          </w:p>
        </w:tc>
        <w:tc>
          <w:tcPr>
            <w:tcW w:w="2235" w:type="dxa"/>
            <w:tcMar>
              <w:top w:w="30" w:type="dxa"/>
              <w:left w:w="60" w:type="dxa"/>
              <w:bottom w:w="0" w:type="dxa"/>
              <w:right w:w="60" w:type="dxa"/>
            </w:tcMar>
            <w:vAlign w:val="center"/>
            <w:hideMark/>
          </w:tcPr>
          <w:p w:rsidR="001906E4" w:rsidRDefault="001906E4" w:rsidP="00DA075A">
            <w:pPr>
              <w:widowControl/>
              <w:autoSpaceDE/>
              <w:autoSpaceDN/>
              <w:spacing w:line="384" w:lineRule="atLeast"/>
              <w:jc w:val="lef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채권 부책임운용전문인력 삭제</w:t>
            </w:r>
          </w:p>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최근 기준으로 기재</w:t>
            </w:r>
          </w:p>
        </w:tc>
        <w:tc>
          <w:tcPr>
            <w:tcW w:w="2265" w:type="dxa"/>
            <w:tcMar>
              <w:top w:w="30" w:type="dxa"/>
              <w:left w:w="60" w:type="dxa"/>
              <w:bottom w:w="0" w:type="dxa"/>
              <w:right w:w="60" w:type="dxa"/>
            </w:tcMar>
            <w:vAlign w:val="center"/>
            <w:hideMark/>
          </w:tcPr>
          <w:p w:rsidR="001906E4" w:rsidRDefault="001906E4" w:rsidP="00DA075A">
            <w:pPr>
              <w:widowControl/>
              <w:autoSpaceDE/>
              <w:autoSpaceDN/>
              <w:spacing w:line="384" w:lineRule="atLeast"/>
              <w:jc w:val="lef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문성호, 전춘봉</w:t>
            </w:r>
          </w:p>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2017. 6. 30. 기준</w:t>
            </w:r>
          </w:p>
        </w:tc>
        <w:tc>
          <w:tcPr>
            <w:tcW w:w="2310" w:type="dxa"/>
            <w:tcMar>
              <w:top w:w="30" w:type="dxa"/>
              <w:left w:w="60" w:type="dxa"/>
              <w:bottom w:w="0" w:type="dxa"/>
              <w:right w:w="60" w:type="dxa"/>
            </w:tcMar>
            <w:vAlign w:val="center"/>
            <w:hideMark/>
          </w:tcPr>
          <w:p w:rsidR="001906E4" w:rsidRDefault="001906E4"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Pr>
                <w:rFonts w:ascii="나눔바른고딕" w:eastAsia="나눔바른고딕" w:hAnsi="나눔바른고딕" w:cs="굴림" w:hint="eastAsia"/>
                <w:b/>
                <w:bCs/>
                <w:color w:val="000000"/>
                <w:kern w:val="0"/>
                <w:szCs w:val="20"/>
                <w:u w:val="single"/>
              </w:rPr>
              <w:t>문성호</w:t>
            </w:r>
          </w:p>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2018. 1. 31. 기준</w:t>
            </w:r>
          </w:p>
        </w:tc>
      </w:tr>
      <w:tr w:rsidR="00DA075A" w:rsidRPr="00DA075A" w:rsidTr="00DA075A">
        <w:trPr>
          <w:trHeight w:val="129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Ⅱ. 집합투자기구의 투자정보</w:t>
            </w:r>
            <w:r w:rsidRPr="00DA075A">
              <w:rPr>
                <w:rFonts w:ascii="나눔바른고딕" w:eastAsia="나눔바른고딕" w:hAnsi="나눔바른고딕" w:cs="굴림" w:hint="eastAsia"/>
                <w:color w:val="000000"/>
                <w:kern w:val="0"/>
                <w:szCs w:val="20"/>
              </w:rPr>
              <w:br/>
              <w:t>[1]. 투자전략</w:t>
            </w:r>
            <w:r w:rsidRPr="00DA075A">
              <w:rPr>
                <w:rFonts w:ascii="나눔바른고딕" w:eastAsia="나눔바른고딕" w:hAnsi="나눔바른고딕" w:cs="굴림" w:hint="eastAsia"/>
                <w:color w:val="000000"/>
                <w:kern w:val="0"/>
                <w:szCs w:val="20"/>
              </w:rPr>
              <w:br/>
              <w:t>5. 투자실적 추이</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재무제표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r w:rsidR="00202D32" w:rsidRPr="00DA075A" w:rsidTr="00C05CC4">
        <w:trPr>
          <w:trHeight w:val="1290"/>
        </w:trPr>
        <w:tc>
          <w:tcPr>
            <w:tcW w:w="2250" w:type="dxa"/>
            <w:tcMar>
              <w:top w:w="30" w:type="dxa"/>
              <w:left w:w="60" w:type="dxa"/>
              <w:bottom w:w="0" w:type="dxa"/>
              <w:right w:w="60" w:type="dxa"/>
            </w:tcMar>
            <w:vAlign w:val="center"/>
          </w:tcPr>
          <w:p w:rsidR="00202D32" w:rsidRPr="00202D32" w:rsidRDefault="00202D32">
            <w:pPr>
              <w:spacing w:after="90" w:line="384" w:lineRule="atLeast"/>
              <w:rPr>
                <w:rFonts w:ascii="나눔바른고딕" w:eastAsia="나눔바른고딕" w:hAnsi="나눔바른고딕" w:cs="굴림"/>
                <w:color w:val="000000"/>
                <w:szCs w:val="20"/>
              </w:rPr>
            </w:pPr>
            <w:r w:rsidRPr="00202D32">
              <w:rPr>
                <w:rFonts w:ascii="나눔바른고딕" w:eastAsia="나눔바른고딕" w:hAnsi="나눔바른고딕" w:hint="eastAsia"/>
                <w:color w:val="000000"/>
                <w:szCs w:val="20"/>
              </w:rPr>
              <w:t>Ⅱ. 집합투자기구의 투자정보</w:t>
            </w:r>
            <w:r w:rsidRPr="00202D32">
              <w:rPr>
                <w:rFonts w:ascii="나눔바른고딕" w:eastAsia="나눔바른고딕" w:hAnsi="나눔바른고딕" w:hint="eastAsia"/>
                <w:color w:val="000000"/>
                <w:szCs w:val="20"/>
              </w:rPr>
              <w:br/>
              <w:t>[2]. 주요 투자위험 및 위험관리</w:t>
            </w:r>
            <w:r w:rsidRPr="00202D32">
              <w:rPr>
                <w:rFonts w:ascii="나눔바른고딕" w:eastAsia="나눔바른고딕" w:hAnsi="나눔바른고딕" w:hint="eastAsia"/>
                <w:color w:val="000000"/>
                <w:szCs w:val="20"/>
              </w:rPr>
              <w:br/>
              <w:t>3. 위험관리</w:t>
            </w:r>
          </w:p>
        </w:tc>
        <w:tc>
          <w:tcPr>
            <w:tcW w:w="2235" w:type="dxa"/>
            <w:tcMar>
              <w:top w:w="30" w:type="dxa"/>
              <w:left w:w="60" w:type="dxa"/>
              <w:bottom w:w="0" w:type="dxa"/>
              <w:right w:w="60" w:type="dxa"/>
            </w:tcMar>
            <w:vAlign w:val="center"/>
          </w:tcPr>
          <w:p w:rsidR="00202D32" w:rsidRPr="00202D32" w:rsidRDefault="00202D32">
            <w:pPr>
              <w:spacing w:after="90" w:line="384" w:lineRule="atLeast"/>
              <w:rPr>
                <w:rFonts w:ascii="나눔바른고딕" w:eastAsia="나눔바른고딕" w:hAnsi="나눔바른고딕" w:cs="굴림"/>
                <w:color w:val="000000"/>
                <w:szCs w:val="20"/>
              </w:rPr>
            </w:pPr>
            <w:r w:rsidRPr="00202D32">
              <w:rPr>
                <w:rFonts w:ascii="나눔바른고딕" w:eastAsia="나눔바른고딕" w:hAnsi="나눔바른고딕" w:hint="eastAsia"/>
                <w:color w:val="000000"/>
                <w:szCs w:val="20"/>
              </w:rPr>
              <w:t>변동성 관리 전략 추가</w:t>
            </w:r>
          </w:p>
        </w:tc>
        <w:tc>
          <w:tcPr>
            <w:tcW w:w="2265" w:type="dxa"/>
            <w:tcMar>
              <w:top w:w="30" w:type="dxa"/>
              <w:left w:w="60" w:type="dxa"/>
              <w:bottom w:w="0" w:type="dxa"/>
              <w:right w:w="60" w:type="dxa"/>
            </w:tcMar>
          </w:tcPr>
          <w:p w:rsidR="00202D32" w:rsidRPr="00202D32" w:rsidRDefault="00202D32">
            <w:pPr>
              <w:spacing w:after="240" w:line="384" w:lineRule="atLeast"/>
              <w:rPr>
                <w:rFonts w:ascii="나눔바른고딕" w:eastAsia="나눔바른고딕" w:hAnsi="나눔바른고딕" w:cs="굴림"/>
                <w:color w:val="000000"/>
                <w:szCs w:val="20"/>
              </w:rPr>
            </w:pPr>
            <w:r w:rsidRPr="00202D32">
              <w:rPr>
                <w:rFonts w:ascii="나눔바른고딕" w:eastAsia="나눔바른고딕" w:hAnsi="나눔바른고딕" w:hint="eastAsia"/>
                <w:color w:val="000000"/>
                <w:szCs w:val="20"/>
              </w:rPr>
              <w:t>-</w:t>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lastRenderedPageBreak/>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r w:rsidRPr="00202D32">
              <w:rPr>
                <w:rFonts w:ascii="나눔바른고딕" w:eastAsia="나눔바른고딕" w:hAnsi="나눔바른고딕" w:hint="eastAsia"/>
                <w:color w:val="000000"/>
                <w:szCs w:val="20"/>
              </w:rPr>
              <w:br/>
            </w:r>
          </w:p>
        </w:tc>
        <w:tc>
          <w:tcPr>
            <w:tcW w:w="2310" w:type="dxa"/>
            <w:tcMar>
              <w:top w:w="30" w:type="dxa"/>
              <w:left w:w="60" w:type="dxa"/>
              <w:bottom w:w="0" w:type="dxa"/>
              <w:right w:w="60" w:type="dxa"/>
            </w:tcMar>
          </w:tcPr>
          <w:p w:rsidR="00202D32" w:rsidRPr="0004759A" w:rsidRDefault="0004759A">
            <w:pPr>
              <w:pStyle w:val="a7"/>
              <w:rPr>
                <w:rFonts w:ascii="나눔바른고딕" w:eastAsia="나눔바른고딕" w:hAnsi="나눔바른고딕"/>
                <w:b/>
                <w:color w:val="000000"/>
                <w:sz w:val="20"/>
                <w:szCs w:val="20"/>
                <w:u w:val="single"/>
              </w:rPr>
            </w:pPr>
            <w:r w:rsidRPr="0004759A">
              <w:rPr>
                <w:rFonts w:ascii="나눔바른고딕" w:eastAsia="나눔바른고딕" w:hAnsi="나눔바른고딕" w:hint="eastAsia"/>
                <w:b/>
                <w:sz w:val="20"/>
                <w:szCs w:val="20"/>
                <w:u w:val="single"/>
              </w:rPr>
              <w:lastRenderedPageBreak/>
              <w:t>①</w:t>
            </w:r>
            <w:r w:rsidR="00202D32" w:rsidRPr="0004759A">
              <w:rPr>
                <w:rFonts w:ascii="나눔바른고딕" w:eastAsia="나눔바른고딕" w:hAnsi="나눔바른고딕" w:hint="eastAsia"/>
                <w:b/>
                <w:sz w:val="20"/>
                <w:szCs w:val="20"/>
                <w:u w:val="single"/>
              </w:rPr>
              <w:t xml:space="preserve"> 변동성 관리</w:t>
            </w:r>
            <w:r w:rsidR="00202D32" w:rsidRPr="0004759A">
              <w:rPr>
                <w:rFonts w:ascii="나눔바른고딕" w:eastAsia="나눔바른고딕" w:hAnsi="나눔바른고딕" w:hint="eastAsia"/>
                <w:b/>
                <w:sz w:val="20"/>
                <w:szCs w:val="20"/>
                <w:u w:val="single"/>
              </w:rPr>
              <w:br/>
              <w:t xml:space="preserve">이 투자신탁은 목표변동성을 연 10% 이하로 설정하고 관리할 계획입니다. </w:t>
            </w:r>
          </w:p>
          <w:p w:rsidR="00202D32" w:rsidRPr="0004759A" w:rsidRDefault="00202D32">
            <w:pPr>
              <w:pStyle w:val="a7"/>
              <w:rPr>
                <w:rFonts w:ascii="나눔바른고딕" w:eastAsia="나눔바른고딕" w:hAnsi="나눔바른고딕"/>
                <w:b/>
                <w:sz w:val="20"/>
                <w:szCs w:val="20"/>
                <w:u w:val="single"/>
              </w:rPr>
            </w:pPr>
            <w:r w:rsidRPr="0004759A">
              <w:rPr>
                <w:rFonts w:ascii="나눔바른고딕" w:eastAsia="나눔바른고딕" w:hAnsi="나눔바른고딕" w:hint="eastAsia"/>
                <w:b/>
                <w:sz w:val="20"/>
                <w:szCs w:val="20"/>
                <w:u w:val="single"/>
              </w:rPr>
              <w:t xml:space="preserve">→ 페어트레이딩 전략 등의 확대로 총편입비중(Gross Exposure)이 증가하면서 변동성이 커질 수 있습니다. 하지만, 이 </w:t>
            </w:r>
            <w:r w:rsidRPr="0004759A">
              <w:rPr>
                <w:rFonts w:ascii="나눔바른고딕" w:eastAsia="나눔바른고딕" w:hAnsi="나눔바른고딕" w:hint="eastAsia"/>
                <w:b/>
                <w:sz w:val="20"/>
                <w:szCs w:val="20"/>
                <w:u w:val="single"/>
              </w:rPr>
              <w:lastRenderedPageBreak/>
              <w:t>투자신탁의 변동성을 매주 확인하여 목표변동성에 근접할 경우 포트폴리오 조정 등을 통해 변동성을 낮춰 급격한 수익률 변동 가능성을 최소화할 계획입니다.</w:t>
            </w:r>
          </w:p>
          <w:p w:rsidR="00202D32" w:rsidRPr="00202D32" w:rsidRDefault="00202D32">
            <w:pPr>
              <w:pStyle w:val="a7"/>
              <w:rPr>
                <w:rFonts w:ascii="나눔바른고딕" w:eastAsia="나눔바른고딕" w:hAnsi="나눔바른고딕"/>
                <w:sz w:val="20"/>
                <w:szCs w:val="20"/>
                <w:u w:val="single"/>
              </w:rPr>
            </w:pPr>
            <w:r w:rsidRPr="0004759A">
              <w:rPr>
                <w:rFonts w:ascii="나눔바른고딕" w:eastAsia="나눔바른고딕" w:hAnsi="나눔바른고딕" w:hint="eastAsia"/>
                <w:b/>
                <w:sz w:val="20"/>
                <w:szCs w:val="20"/>
                <w:u w:val="single"/>
              </w:rPr>
              <w:t>※ 대량 설정 및 환매, 시장상황 등에 따라 목표변동성을 초과될 경우, 투자전략, 투자수단의 유용성 등에 따라 운용역의 판단으로 포트폴리오를 조정하지 않을 수 있습니다. 이로 인해 이 투자신탁의 변동성이 목표변동성을 초과할 수 있지만, 일정기간 내에 목표변동성 이내로 관리할 계획입니다.</w:t>
            </w:r>
          </w:p>
        </w:tc>
      </w:tr>
      <w:tr w:rsidR="00DA075A" w:rsidRPr="00DA075A" w:rsidTr="00E62009">
        <w:trPr>
          <w:trHeight w:val="1290"/>
        </w:trPr>
        <w:tc>
          <w:tcPr>
            <w:tcW w:w="2250" w:type="dxa"/>
            <w:tcMar>
              <w:top w:w="30" w:type="dxa"/>
              <w:left w:w="60" w:type="dxa"/>
              <w:bottom w:w="0" w:type="dxa"/>
              <w:right w:w="60" w:type="dxa"/>
            </w:tcMar>
            <w:vAlign w:val="cente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lastRenderedPageBreak/>
              <w:t>Ⅱ. 집합투자기구의 투자정보</w:t>
            </w:r>
            <w:r w:rsidRPr="00DA075A">
              <w:rPr>
                <w:rFonts w:ascii="나눔바른고딕" w:eastAsia="나눔바른고딕" w:hAnsi="나눔바른고딕" w:cs="굴림" w:hint="eastAsia"/>
                <w:color w:val="000000"/>
                <w:kern w:val="0"/>
                <w:szCs w:val="20"/>
              </w:rPr>
              <w:br/>
              <w:t>[2]. 주요 투자위험 및 위험관리</w:t>
            </w:r>
            <w:r w:rsidRPr="00DA075A">
              <w:rPr>
                <w:rFonts w:ascii="나눔바른고딕" w:eastAsia="나눔바른고딕" w:hAnsi="나눔바른고딕" w:cs="굴림" w:hint="eastAsia"/>
                <w:color w:val="000000"/>
                <w:kern w:val="0"/>
                <w:szCs w:val="20"/>
              </w:rPr>
              <w:br/>
              <w:t>2. 투자위험 등급 분류</w:t>
            </w:r>
          </w:p>
        </w:tc>
        <w:tc>
          <w:tcPr>
            <w:tcW w:w="2235" w:type="dxa"/>
            <w:tcMar>
              <w:top w:w="30" w:type="dxa"/>
              <w:left w:w="60" w:type="dxa"/>
              <w:bottom w:w="0" w:type="dxa"/>
              <w:right w:w="60" w:type="dxa"/>
            </w:tcMar>
            <w:vAlign w:val="cente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예시 투자비중 변경</w:t>
            </w:r>
          </w:p>
        </w:tc>
        <w:tc>
          <w:tcPr>
            <w:tcW w:w="2265" w:type="dxa"/>
            <w:tcMar>
              <w:top w:w="30" w:type="dxa"/>
              <w:left w:w="60" w:type="dxa"/>
              <w:bottom w:w="0" w:type="dxa"/>
              <w:right w:w="60" w:type="dxa"/>
            </w:tcMa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이 투자신탁은 아시아 국가 내 주식 및 주식관련 파생상품에 50%이상, 채권에 90%이하로 투자하는 모투자신탁에 투자하는 집합투자기구(주식혼합-파생형)으로서 주식 및 주식관련 파생상품의 순투자비율(Net Exposure) -30~+30% 수준, </w:t>
            </w:r>
            <w:r w:rsidRPr="00DA075A">
              <w:rPr>
                <w:rFonts w:ascii="나눔바른고딕" w:eastAsia="나눔바른고딕" w:hAnsi="나눔바른고딕" w:cs="굴림" w:hint="eastAsia"/>
                <w:color w:val="000000"/>
                <w:kern w:val="0"/>
                <w:szCs w:val="20"/>
                <w:u w:val="single"/>
              </w:rPr>
              <w:t xml:space="preserve">총투자비율(Gross Exposure)은 90~130% </w:t>
            </w:r>
            <w:r w:rsidRPr="00DA075A">
              <w:rPr>
                <w:rFonts w:ascii="나눔바른고딕" w:eastAsia="나눔바른고딕" w:hAnsi="나눔바른고딕" w:cs="굴림" w:hint="eastAsia"/>
                <w:color w:val="000000"/>
                <w:kern w:val="0"/>
                <w:szCs w:val="20"/>
              </w:rPr>
              <w:t>수준으로 관리될 계획입니다. 따라서 이 투자신탁은 롱숏전략을 통해 시장변동성과 유사하거나 보다 낮은 변동성을 유지할 계획으로 6등급 중 2등급에 해당되는 높은 수준의 투자위험을 지니고 있습니다. 투자대상국가의 경제여건 변화 및 주식과의 가치변동 상관관계, 외국통화로 표시된 투자 자산의 높은 투자위험 등을 이해하고, 높은 위험을 감내하더라도 롱숏전략에 대한 투자위험을 이해하는 투자자에게 적합합니다.</w:t>
            </w:r>
          </w:p>
        </w:tc>
        <w:tc>
          <w:tcPr>
            <w:tcW w:w="2310" w:type="dxa"/>
            <w:tcMar>
              <w:top w:w="30" w:type="dxa"/>
              <w:left w:w="60" w:type="dxa"/>
              <w:bottom w:w="0" w:type="dxa"/>
              <w:right w:w="60" w:type="dxa"/>
            </w:tcMa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이 투자신탁은 아시아 국가 내 주식 및 주식관련 파생상품에 50%이상, 채권에 90%이하로 투자하는 모투자신탁에 투자하는 집합투자기구(주식혼합-파생형)으로서 주식 및 주식관련 파생상품의 순투자비율(Net Exposure) -30~+30% 수준, </w:t>
            </w:r>
            <w:r w:rsidRPr="00DA075A">
              <w:rPr>
                <w:rFonts w:ascii="나눔바른고딕" w:eastAsia="나눔바른고딕" w:hAnsi="나눔바른고딕" w:cs="굴림" w:hint="eastAsia"/>
                <w:b/>
                <w:bCs/>
                <w:color w:val="000000"/>
                <w:kern w:val="0"/>
                <w:szCs w:val="20"/>
                <w:u w:val="single"/>
              </w:rPr>
              <w:t xml:space="preserve">총투자비율(Gross Exposure)은 90~260% </w:t>
            </w:r>
            <w:r w:rsidRPr="00DA075A">
              <w:rPr>
                <w:rFonts w:ascii="나눔바른고딕" w:eastAsia="나눔바른고딕" w:hAnsi="나눔바른고딕" w:cs="굴림" w:hint="eastAsia"/>
                <w:color w:val="000000"/>
                <w:kern w:val="0"/>
                <w:szCs w:val="20"/>
              </w:rPr>
              <w:t>수준으로 관리될 계획입니다. 따라서 이 투자신탁은 롱숏전략을 통해 시장변동성과 유사하거나 보다 낮은 변동성을 유지할 계획으로 6등급 중 2등급에 해당되는 높은 수준의 투자위험을 지니고 있습니다. 투자대상국가의 경제여건 변화 및 주식과의 가치변동 상관관계, 외국통화로 표시된 투자 자산의 높은 투자위험 등을 이해하고, 높은 위험을 감내하더라도 롱숏전략에 대한 투자위험을 이해하는 투자자에게 적합합니다.</w:t>
            </w:r>
          </w:p>
        </w:tc>
      </w:tr>
      <w:tr w:rsidR="00DA075A" w:rsidRPr="00DA075A" w:rsidTr="00DA075A">
        <w:trPr>
          <w:trHeight w:val="255"/>
        </w:trPr>
        <w:tc>
          <w:tcPr>
            <w:tcW w:w="9060" w:type="dxa"/>
            <w:gridSpan w:val="4"/>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제2부 집합투자기구에 관한 사항</w:t>
            </w:r>
          </w:p>
        </w:tc>
      </w:tr>
      <w:tr w:rsidR="001906E4" w:rsidRPr="00DA075A" w:rsidTr="00DA075A">
        <w:trPr>
          <w:trHeight w:val="945"/>
        </w:trPr>
        <w:tc>
          <w:tcPr>
            <w:tcW w:w="2250" w:type="dxa"/>
            <w:tcMar>
              <w:top w:w="30" w:type="dxa"/>
              <w:left w:w="60" w:type="dxa"/>
              <w:bottom w:w="0" w:type="dxa"/>
              <w:right w:w="60" w:type="dxa"/>
            </w:tcMar>
            <w:vAlign w:val="center"/>
            <w:hideMark/>
          </w:tcPr>
          <w:p w:rsidR="001906E4" w:rsidRPr="00DA075A" w:rsidRDefault="001906E4"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5. 운용전문인력</w:t>
            </w:r>
            <w:r w:rsidRPr="00DA075A">
              <w:rPr>
                <w:rFonts w:ascii="나눔바른고딕" w:eastAsia="나눔바른고딕" w:hAnsi="나눔바른고딕" w:cs="굴림" w:hint="eastAsia"/>
                <w:color w:val="000000"/>
                <w:kern w:val="0"/>
                <w:szCs w:val="20"/>
              </w:rPr>
              <w:br/>
              <w:t>가. 책임운용전문인력</w:t>
            </w:r>
          </w:p>
        </w:tc>
        <w:tc>
          <w:tcPr>
            <w:tcW w:w="2235" w:type="dxa"/>
            <w:tcMar>
              <w:top w:w="30" w:type="dxa"/>
              <w:left w:w="60" w:type="dxa"/>
              <w:bottom w:w="0" w:type="dxa"/>
              <w:right w:w="60" w:type="dxa"/>
            </w:tcMar>
            <w:vAlign w:val="center"/>
            <w:hideMark/>
          </w:tcPr>
          <w:p w:rsidR="001906E4" w:rsidRDefault="001906E4" w:rsidP="002F56B1">
            <w:pPr>
              <w:widowControl/>
              <w:autoSpaceDE/>
              <w:autoSpaceDN/>
              <w:spacing w:line="384" w:lineRule="atLeast"/>
              <w:jc w:val="lef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채권 부책임운용전문인력 삭제</w:t>
            </w:r>
          </w:p>
          <w:p w:rsidR="001906E4" w:rsidRPr="00DA075A" w:rsidRDefault="001906E4" w:rsidP="002F56B1">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최근 기준으로 기재</w:t>
            </w:r>
          </w:p>
        </w:tc>
        <w:tc>
          <w:tcPr>
            <w:tcW w:w="2265" w:type="dxa"/>
            <w:tcMar>
              <w:top w:w="30" w:type="dxa"/>
              <w:left w:w="60" w:type="dxa"/>
              <w:bottom w:w="0" w:type="dxa"/>
              <w:right w:w="60" w:type="dxa"/>
            </w:tcMar>
            <w:vAlign w:val="center"/>
            <w:hideMark/>
          </w:tcPr>
          <w:p w:rsidR="001906E4" w:rsidRDefault="001906E4" w:rsidP="002F56B1">
            <w:pPr>
              <w:widowControl/>
              <w:autoSpaceDE/>
              <w:autoSpaceDN/>
              <w:spacing w:line="384" w:lineRule="atLeast"/>
              <w:jc w:val="lef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문성호, 전춘봉</w:t>
            </w:r>
          </w:p>
          <w:p w:rsidR="001906E4" w:rsidRPr="00DA075A" w:rsidRDefault="001906E4" w:rsidP="002F56B1">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2017. 6. 30. 기준</w:t>
            </w:r>
          </w:p>
        </w:tc>
        <w:tc>
          <w:tcPr>
            <w:tcW w:w="2310" w:type="dxa"/>
            <w:tcMar>
              <w:top w:w="30" w:type="dxa"/>
              <w:left w:w="60" w:type="dxa"/>
              <w:bottom w:w="0" w:type="dxa"/>
              <w:right w:w="60" w:type="dxa"/>
            </w:tcMar>
            <w:vAlign w:val="center"/>
            <w:hideMark/>
          </w:tcPr>
          <w:p w:rsidR="001906E4" w:rsidRDefault="001906E4" w:rsidP="002F56B1">
            <w:pPr>
              <w:widowControl/>
              <w:autoSpaceDE/>
              <w:autoSpaceDN/>
              <w:spacing w:line="384" w:lineRule="atLeast"/>
              <w:jc w:val="left"/>
              <w:rPr>
                <w:rFonts w:ascii="나눔바른고딕" w:eastAsia="나눔바른고딕" w:hAnsi="나눔바른고딕" w:cs="굴림"/>
                <w:b/>
                <w:bCs/>
                <w:color w:val="000000"/>
                <w:kern w:val="0"/>
                <w:szCs w:val="20"/>
                <w:u w:val="single"/>
              </w:rPr>
            </w:pPr>
            <w:r>
              <w:rPr>
                <w:rFonts w:ascii="나눔바른고딕" w:eastAsia="나눔바른고딕" w:hAnsi="나눔바른고딕" w:cs="굴림" w:hint="eastAsia"/>
                <w:b/>
                <w:bCs/>
                <w:color w:val="000000"/>
                <w:kern w:val="0"/>
                <w:szCs w:val="20"/>
                <w:u w:val="single"/>
              </w:rPr>
              <w:t>문성호</w:t>
            </w:r>
          </w:p>
          <w:p w:rsidR="001906E4" w:rsidRPr="00DA075A" w:rsidRDefault="001906E4" w:rsidP="002F56B1">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2018. 1. 31. 기준</w:t>
            </w:r>
          </w:p>
        </w:tc>
      </w:tr>
      <w:tr w:rsidR="00DA075A" w:rsidRPr="00DA075A" w:rsidTr="00DA075A">
        <w:trPr>
          <w:trHeight w:val="3933"/>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6. 집합투자기구의 구조</w:t>
            </w:r>
            <w:r w:rsidRPr="00DA075A">
              <w:rPr>
                <w:rFonts w:ascii="나눔바른고딕" w:eastAsia="나눔바른고딕" w:hAnsi="나눔바른고딕" w:cs="굴림" w:hint="eastAsia"/>
                <w:color w:val="000000"/>
                <w:kern w:val="0"/>
                <w:szCs w:val="20"/>
              </w:rPr>
              <w:br/>
              <w:t>다. 모자형 구조</w:t>
            </w:r>
            <w:r w:rsidRPr="00DA075A">
              <w:rPr>
                <w:rFonts w:ascii="나눔바른고딕" w:eastAsia="나눔바른고딕" w:hAnsi="나눔바른고딕" w:cs="굴림" w:hint="eastAsia"/>
                <w:color w:val="000000"/>
                <w:kern w:val="0"/>
                <w:szCs w:val="20"/>
              </w:rPr>
              <w:br/>
              <w:t>[이 투자신탁이 투자하는 모투자신탁에 관한 사항]</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예시 투자비중 변경</w:t>
            </w:r>
          </w:p>
        </w:tc>
        <w:tc>
          <w:tcPr>
            <w:tcW w:w="2265" w:type="dxa"/>
            <w:tcMar>
              <w:top w:w="30" w:type="dxa"/>
              <w:left w:w="60" w:type="dxa"/>
              <w:bottom w:w="0" w:type="dxa"/>
              <w:right w:w="60" w:type="dxa"/>
            </w:tcMa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한국 및 아시아 주식, 주식관련 파생상품으로 롱숏 포트폴리오를 구성하여 장기 안정적인 성과 달성을 추구합니다.</w:t>
            </w:r>
          </w:p>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주식 및 주식관련 파생상품의 순편입비중은 평균 -30%~+30% 수준</w:t>
            </w:r>
            <w:r w:rsidRPr="00DA075A">
              <w:rPr>
                <w:rFonts w:ascii="나눔바른고딕" w:eastAsia="나눔바른고딕" w:hAnsi="나눔바른고딕" w:cs="굴림" w:hint="eastAsia"/>
                <w:color w:val="000000"/>
                <w:kern w:val="0"/>
                <w:szCs w:val="20"/>
                <w:u w:val="single"/>
              </w:rPr>
              <w:t>(총편입비중 90%~130% 수준)</w:t>
            </w:r>
            <w:r w:rsidRPr="00DA075A">
              <w:rPr>
                <w:rFonts w:ascii="나눔바른고딕" w:eastAsia="나눔바른고딕" w:hAnsi="나눔바른고딕" w:cs="굴림" w:hint="eastAsia"/>
                <w:color w:val="000000"/>
                <w:kern w:val="0"/>
                <w:szCs w:val="20"/>
              </w:rPr>
              <w:t>으로 유지하면서 아시아 지역 내 국가의 주식으로 롱숏포트폴리오</w:t>
            </w:r>
            <w:r>
              <w:rPr>
                <w:rFonts w:ascii="나눔바른고딕" w:eastAsia="나눔바른고딕" w:hAnsi="나눔바른고딕" w:cs="굴림" w:hint="eastAsia"/>
                <w:color w:val="000000"/>
                <w:kern w:val="0"/>
                <w:szCs w:val="20"/>
              </w:rPr>
              <w:t xml:space="preserve"> </w:t>
            </w:r>
            <w:r w:rsidRPr="00DA075A">
              <w:rPr>
                <w:rFonts w:ascii="나눔바른고딕" w:eastAsia="나눔바른고딕" w:hAnsi="나눔바른고딕" w:cs="굴림" w:hint="eastAsia"/>
                <w:color w:val="000000"/>
                <w:kern w:val="0"/>
                <w:szCs w:val="20"/>
              </w:rPr>
              <w:t>구축</w:t>
            </w:r>
          </w:p>
        </w:tc>
        <w:tc>
          <w:tcPr>
            <w:tcW w:w="2310" w:type="dxa"/>
            <w:tcMar>
              <w:top w:w="30" w:type="dxa"/>
              <w:left w:w="60" w:type="dxa"/>
              <w:bottom w:w="0" w:type="dxa"/>
              <w:right w:w="60" w:type="dxa"/>
            </w:tcMa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한국 및 아시아 주식, 주식관련 파생상품으로 롱숏 포트폴리오를 구성하여 장기 안정적인 성과 달성을 추구합니다.</w:t>
            </w:r>
          </w:p>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주식 및 주식관련 파생상품의 순편입비중은 평균 -30%~+30% 수준</w:t>
            </w:r>
            <w:r w:rsidRPr="00DA075A">
              <w:rPr>
                <w:rFonts w:ascii="나눔바른고딕" w:eastAsia="나눔바른고딕" w:hAnsi="나눔바른고딕" w:cs="굴림" w:hint="eastAsia"/>
                <w:b/>
                <w:bCs/>
                <w:color w:val="000000"/>
                <w:kern w:val="0"/>
                <w:szCs w:val="20"/>
                <w:u w:val="single"/>
              </w:rPr>
              <w:t>(총편입비중 90%~260% 수준)</w:t>
            </w:r>
            <w:r w:rsidRPr="00DA075A">
              <w:rPr>
                <w:rFonts w:ascii="나눔바른고딕" w:eastAsia="나눔바른고딕" w:hAnsi="나눔바른고딕" w:cs="굴림" w:hint="eastAsia"/>
                <w:color w:val="000000"/>
                <w:kern w:val="0"/>
                <w:szCs w:val="20"/>
              </w:rPr>
              <w:t>으로 유지하면서 아시아 지역 내 국가의 주식으로 롱숏포트폴리오 구축</w:t>
            </w:r>
          </w:p>
        </w:tc>
      </w:tr>
      <w:tr w:rsidR="00DA075A" w:rsidRPr="00DA075A" w:rsidTr="00DA075A">
        <w:trPr>
          <w:trHeight w:val="1635"/>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9. 집합투자기구의 투자전략, 투자방침 및 수익구조</w:t>
            </w:r>
            <w:r w:rsidRPr="00DA075A">
              <w:rPr>
                <w:rFonts w:ascii="나눔바른고딕" w:eastAsia="나눔바른고딕" w:hAnsi="나눔바른고딕" w:cs="굴림" w:hint="eastAsia"/>
                <w:color w:val="000000"/>
                <w:kern w:val="0"/>
                <w:szCs w:val="20"/>
              </w:rPr>
              <w:br/>
              <w:t>가. 투자전략 및 위험관리</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예시 투자비중 변경</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&lt;정정 전&gt;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&lt;정정 후&gt;</w:t>
            </w:r>
          </w:p>
        </w:tc>
      </w:tr>
      <w:tr w:rsidR="00202D32" w:rsidRPr="00DA075A" w:rsidTr="00B311AE">
        <w:trPr>
          <w:trHeight w:val="1635"/>
        </w:trPr>
        <w:tc>
          <w:tcPr>
            <w:tcW w:w="2250" w:type="dxa"/>
            <w:tcMar>
              <w:top w:w="30" w:type="dxa"/>
              <w:left w:w="60" w:type="dxa"/>
              <w:bottom w:w="0" w:type="dxa"/>
              <w:right w:w="60" w:type="dxa"/>
            </w:tcMar>
            <w:vAlign w:val="center"/>
          </w:tcPr>
          <w:p w:rsidR="00202D32" w:rsidRPr="00202D32" w:rsidRDefault="00202D32">
            <w:pPr>
              <w:spacing w:after="90" w:line="384" w:lineRule="atLeast"/>
              <w:rPr>
                <w:rFonts w:ascii="나눔바른고딕" w:eastAsia="나눔바른고딕" w:hAnsi="나눔바른고딕" w:cs="굴림"/>
                <w:color w:val="000000"/>
                <w:szCs w:val="20"/>
              </w:rPr>
            </w:pPr>
            <w:r w:rsidRPr="00202D32">
              <w:rPr>
                <w:rFonts w:ascii="나눔바른고딕" w:eastAsia="나눔바른고딕" w:hAnsi="나눔바른고딕" w:hint="eastAsia"/>
                <w:color w:val="000000"/>
                <w:szCs w:val="20"/>
              </w:rPr>
              <w:t>9. 집합투자기구의 투자전략, 투자방침 및 수익구조</w:t>
            </w:r>
            <w:r w:rsidRPr="00202D32">
              <w:rPr>
                <w:rFonts w:ascii="나눔바른고딕" w:eastAsia="나눔바른고딕" w:hAnsi="나눔바른고딕" w:hint="eastAsia"/>
                <w:color w:val="000000"/>
                <w:szCs w:val="20"/>
              </w:rPr>
              <w:br/>
              <w:t>가. 투자전략 및 위험관리</w:t>
            </w:r>
            <w:r w:rsidRPr="00202D32">
              <w:rPr>
                <w:rFonts w:ascii="나눔바른고딕" w:eastAsia="나눔바른고딕" w:hAnsi="나눔바른고딕" w:hint="eastAsia"/>
                <w:color w:val="000000"/>
                <w:szCs w:val="20"/>
              </w:rPr>
              <w:br/>
              <w:t>2) 위험관리 전략</w:t>
            </w:r>
          </w:p>
        </w:tc>
        <w:tc>
          <w:tcPr>
            <w:tcW w:w="2235" w:type="dxa"/>
            <w:tcMar>
              <w:top w:w="30" w:type="dxa"/>
              <w:left w:w="60" w:type="dxa"/>
              <w:bottom w:w="0" w:type="dxa"/>
              <w:right w:w="60" w:type="dxa"/>
            </w:tcMar>
            <w:vAlign w:val="center"/>
          </w:tcPr>
          <w:p w:rsidR="00202D32" w:rsidRPr="00202D32" w:rsidRDefault="00202D32">
            <w:pPr>
              <w:spacing w:after="90" w:line="384" w:lineRule="atLeast"/>
              <w:rPr>
                <w:rFonts w:ascii="나눔바른고딕" w:eastAsia="나눔바른고딕" w:hAnsi="나눔바른고딕" w:cs="굴림"/>
                <w:color w:val="000000"/>
                <w:szCs w:val="20"/>
              </w:rPr>
            </w:pPr>
            <w:r w:rsidRPr="00202D32">
              <w:rPr>
                <w:rFonts w:ascii="나눔바른고딕" w:eastAsia="나눔바른고딕" w:hAnsi="나눔바른고딕" w:hint="eastAsia"/>
                <w:color w:val="000000"/>
                <w:szCs w:val="20"/>
              </w:rPr>
              <w:t>변동성 관리 전략 추가</w:t>
            </w:r>
          </w:p>
        </w:tc>
        <w:tc>
          <w:tcPr>
            <w:tcW w:w="2265" w:type="dxa"/>
            <w:tcMar>
              <w:top w:w="30" w:type="dxa"/>
              <w:left w:w="60" w:type="dxa"/>
              <w:bottom w:w="0" w:type="dxa"/>
              <w:right w:w="60" w:type="dxa"/>
            </w:tcMar>
          </w:tcPr>
          <w:p w:rsidR="00202D32" w:rsidRPr="00202D32" w:rsidRDefault="00202D32">
            <w:pPr>
              <w:spacing w:after="90" w:line="384" w:lineRule="atLeast"/>
              <w:rPr>
                <w:rFonts w:ascii="나눔바른고딕" w:eastAsia="나눔바른고딕" w:hAnsi="나눔바른고딕" w:cs="굴림"/>
                <w:color w:val="000000"/>
                <w:szCs w:val="20"/>
              </w:rPr>
            </w:pPr>
          </w:p>
        </w:tc>
        <w:tc>
          <w:tcPr>
            <w:tcW w:w="2310" w:type="dxa"/>
            <w:tcMar>
              <w:top w:w="30" w:type="dxa"/>
              <w:left w:w="60" w:type="dxa"/>
              <w:bottom w:w="0" w:type="dxa"/>
              <w:right w:w="60" w:type="dxa"/>
            </w:tcMar>
          </w:tcPr>
          <w:p w:rsidR="00202D32" w:rsidRPr="00202D32" w:rsidRDefault="00202D32">
            <w:pPr>
              <w:pStyle w:val="a7"/>
              <w:rPr>
                <w:rFonts w:ascii="나눔바른고딕" w:eastAsia="나눔바른고딕" w:hAnsi="나눔바른고딕"/>
                <w:b/>
                <w:bCs/>
                <w:color w:val="000000"/>
                <w:sz w:val="20"/>
                <w:szCs w:val="20"/>
                <w:u w:val="single"/>
              </w:rPr>
            </w:pPr>
            <w:r w:rsidRPr="00202D32">
              <w:rPr>
                <w:rFonts w:ascii="나눔바른고딕" w:eastAsia="나눔바른고딕" w:hAnsi="나눔바른고딕" w:hint="eastAsia"/>
                <w:b/>
                <w:bCs/>
                <w:sz w:val="20"/>
                <w:szCs w:val="20"/>
                <w:u w:val="single"/>
              </w:rPr>
              <w:t>②변동성 관리</w:t>
            </w:r>
            <w:r w:rsidRPr="00202D32">
              <w:rPr>
                <w:rFonts w:ascii="나눔바른고딕" w:eastAsia="나눔바른고딕" w:hAnsi="나눔바른고딕" w:hint="eastAsia"/>
                <w:b/>
                <w:bCs/>
                <w:sz w:val="20"/>
                <w:szCs w:val="20"/>
                <w:u w:val="single"/>
              </w:rPr>
              <w:br/>
              <w:t xml:space="preserve">이 투자신탁은 목표변동성을 연 10% 이하로 설정하고 관리할 계획입니다. </w:t>
            </w:r>
          </w:p>
          <w:p w:rsidR="00202D32" w:rsidRPr="00202D32" w:rsidRDefault="00202D32">
            <w:pPr>
              <w:pStyle w:val="a7"/>
              <w:rPr>
                <w:rFonts w:ascii="나눔바른고딕" w:eastAsia="나눔바른고딕" w:hAnsi="나눔바른고딕"/>
                <w:b/>
                <w:bCs/>
                <w:sz w:val="20"/>
                <w:szCs w:val="20"/>
                <w:u w:val="single"/>
              </w:rPr>
            </w:pPr>
            <w:r w:rsidRPr="00202D32">
              <w:rPr>
                <w:rFonts w:ascii="나눔바른고딕" w:eastAsia="나눔바른고딕" w:hAnsi="나눔바른고딕" w:hint="eastAsia"/>
                <w:b/>
                <w:bCs/>
                <w:sz w:val="20"/>
                <w:szCs w:val="20"/>
                <w:u w:val="single"/>
              </w:rPr>
              <w:t>→ 페어트레이딩 전략 등의 확대로 총편입비중(Gross Exposure)이 증가하면서 변동성이 커질 수 있습니다. 하지만, 이 투자신탁의 변동성을 매주 확인하여 목표변동성에 근접할 경우 포트폴리오 조정 등을 통해 변동성을 낮춰 급격한 수익률 변동 가능성을 최소화할 계획입니다.</w:t>
            </w:r>
          </w:p>
          <w:p w:rsidR="00202D32" w:rsidRPr="00202D32" w:rsidRDefault="00202D32">
            <w:pPr>
              <w:pStyle w:val="a7"/>
              <w:rPr>
                <w:rFonts w:ascii="나눔바른고딕" w:eastAsia="나눔바른고딕" w:hAnsi="나눔바른고딕"/>
                <w:b/>
                <w:bCs/>
                <w:sz w:val="20"/>
                <w:szCs w:val="20"/>
                <w:u w:val="single"/>
              </w:rPr>
            </w:pPr>
            <w:r w:rsidRPr="00202D32">
              <w:rPr>
                <w:rFonts w:ascii="나눔바른고딕" w:eastAsia="나눔바른고딕" w:hAnsi="나눔바른고딕" w:hint="eastAsia"/>
                <w:b/>
                <w:bCs/>
                <w:sz w:val="20"/>
                <w:szCs w:val="20"/>
                <w:u w:val="single"/>
              </w:rPr>
              <w:t>※ 대량 설정 및 환매, 시장상황 등에 따라 목표변동성을 초과될 경우, 투자전략, 투자수단의 유용성 등에 따라 운용역의 판단으로 포트폴리오를 조정하지 않을 수 있습니다. 이로 인해 이 투자신탁의 변동성이 목표변동성을 초과할 수 있지만, 일정기간 내에 목표변동성 이내로 관리할 계획입니다.</w:t>
            </w:r>
          </w:p>
        </w:tc>
      </w:tr>
      <w:tr w:rsidR="00DA075A" w:rsidRPr="00DA075A" w:rsidTr="00DA075A">
        <w:trPr>
          <w:trHeight w:val="10454"/>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10. 집합투자기구의 투자위험</w:t>
            </w:r>
            <w:r w:rsidRPr="00DA075A">
              <w:rPr>
                <w:rFonts w:ascii="나눔바른고딕" w:eastAsia="나눔바른고딕" w:hAnsi="나눔바른고딕" w:cs="굴림" w:hint="eastAsia"/>
                <w:color w:val="000000"/>
                <w:kern w:val="0"/>
                <w:szCs w:val="20"/>
              </w:rPr>
              <w:br/>
              <w:t>라. 이 집합투자기구에 적합한 투자자 유형</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예시 투자비중 변경</w:t>
            </w:r>
          </w:p>
        </w:tc>
        <w:tc>
          <w:tcPr>
            <w:tcW w:w="2265" w:type="dxa"/>
            <w:tcMar>
              <w:top w:w="30" w:type="dxa"/>
              <w:left w:w="60" w:type="dxa"/>
              <w:bottom w:w="0" w:type="dxa"/>
              <w:right w:w="60" w:type="dxa"/>
            </w:tcMa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이 투자신탁은 아시아 국가 내 주식 및 주식관련 파생상품에 50%이상, 채권에 90%이하로 투자하는 모투자신탁에투자하는 집합투자기구(주식혼합-파생형)으로서 주식 및 주식관련 파생상품의 순투자비율(Net Exposure) -30~+30% 수준, </w:t>
            </w:r>
            <w:r w:rsidRPr="00DA075A">
              <w:rPr>
                <w:rFonts w:ascii="나눔바른고딕" w:eastAsia="나눔바른고딕" w:hAnsi="나눔바른고딕" w:cs="굴림" w:hint="eastAsia"/>
                <w:color w:val="000000"/>
                <w:kern w:val="0"/>
                <w:szCs w:val="20"/>
                <w:u w:val="single"/>
              </w:rPr>
              <w:t xml:space="preserve">총투자비율(Gross Exposure)은 90~130% </w:t>
            </w:r>
            <w:r w:rsidRPr="00DA075A">
              <w:rPr>
                <w:rFonts w:ascii="나눔바른고딕" w:eastAsia="나눔바른고딕" w:hAnsi="나눔바른고딕" w:cs="굴림" w:hint="eastAsia"/>
                <w:color w:val="000000"/>
                <w:kern w:val="0"/>
                <w:szCs w:val="20"/>
              </w:rPr>
              <w:t>수준으로 관리될 계획입니다. 따라서 이 투자신탁은 롱숏전략을 통해 시장변동성과 유사하거나 보다 낮은 변동성을 유지할 계획으로 6등급 중 2등급에 해당되는 높은 수준의 투자위험을 지니고 있습니다. 투자대상국가의 경제여건 변화 및 주식과의 가치변동 상관관계, 외국통화로 표시된 투자 자산의 높은 투자위험 등을 이해하고, 높은 위험을 감내하더라도 롱숏전략에 대한 투자위험을 이해하는 투자자에게 적합합니다.</w:t>
            </w:r>
          </w:p>
        </w:tc>
        <w:tc>
          <w:tcPr>
            <w:tcW w:w="2310" w:type="dxa"/>
            <w:tcMar>
              <w:top w:w="30" w:type="dxa"/>
              <w:left w:w="60" w:type="dxa"/>
              <w:bottom w:w="0" w:type="dxa"/>
              <w:right w:w="60" w:type="dxa"/>
            </w:tcMa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이 투자신탁은 아시아 국가 내 주식 및 주식관련 파생상품에 50%이상, 채권에 90%이하로 투자하는 모투자신탁에투자하는 집합투자기구(주식혼합-파생형)으로서 주식 및 주식관련 파생상품의 순투자비율(Net Exposure) -30~+30% 수준, </w:t>
            </w:r>
            <w:r w:rsidRPr="00DA075A">
              <w:rPr>
                <w:rFonts w:ascii="나눔바른고딕" w:eastAsia="나눔바른고딕" w:hAnsi="나눔바른고딕" w:cs="굴림" w:hint="eastAsia"/>
                <w:b/>
                <w:bCs/>
                <w:color w:val="000000"/>
                <w:kern w:val="0"/>
                <w:szCs w:val="20"/>
                <w:u w:val="single"/>
              </w:rPr>
              <w:t xml:space="preserve">총투자비율(Gross Exposure)은 90~260% </w:t>
            </w:r>
            <w:r w:rsidRPr="00DA075A">
              <w:rPr>
                <w:rFonts w:ascii="나눔바른고딕" w:eastAsia="나눔바른고딕" w:hAnsi="나눔바른고딕" w:cs="굴림" w:hint="eastAsia"/>
                <w:color w:val="000000"/>
                <w:kern w:val="0"/>
                <w:szCs w:val="20"/>
              </w:rPr>
              <w:t>수준으로 관리될 계획입니다. 따라서 이 투자신탁은 롱숏전략을 통해 시장변동성과 유사하거나 보다 낮은 변동성을 유지할 계획으로 6등급 중 2등급에 해당되는 높은 수준의 투자위험을 지니고 있습니다. 투자대상국가의 경제여건 변화 및 주식과의 가치변동 상관관계, 외국통화로 표시된 투자 자산의 높은 투자위험 등을 이해하고, 높은 위험을 감내하더라도 롱숏전략에 대한 투자위험을 이해하는 투자자에게 적합합니다.</w:t>
            </w:r>
          </w:p>
        </w:tc>
      </w:tr>
      <w:tr w:rsidR="00DA075A" w:rsidRPr="00DA075A" w:rsidTr="00DA075A">
        <w:trPr>
          <w:trHeight w:val="1635"/>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13. 보수 및 수수료에 관한 사항</w:t>
            </w:r>
            <w:r w:rsidRPr="00DA075A">
              <w:rPr>
                <w:rFonts w:ascii="나눔바른고딕" w:eastAsia="나눔바른고딕" w:hAnsi="나눔바른고딕" w:cs="굴림" w:hint="eastAsia"/>
                <w:color w:val="000000"/>
                <w:kern w:val="0"/>
                <w:szCs w:val="20"/>
              </w:rPr>
              <w:br/>
              <w:t>나. 집합투자기구에 부과되는 보수 및 비용</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재무제표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r w:rsidR="00DA075A" w:rsidRPr="00DA075A" w:rsidTr="000B679E">
        <w:trPr>
          <w:trHeight w:val="1635"/>
        </w:trPr>
        <w:tc>
          <w:tcPr>
            <w:tcW w:w="2250" w:type="dxa"/>
            <w:tcMar>
              <w:top w:w="30" w:type="dxa"/>
              <w:left w:w="60" w:type="dxa"/>
              <w:bottom w:w="0" w:type="dxa"/>
              <w:right w:w="60" w:type="dxa"/>
            </w:tcMar>
            <w:vAlign w:val="cente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14. 이익 배분 및 과세에 관한 사항</w:t>
            </w:r>
            <w:r w:rsidRPr="00DA075A">
              <w:rPr>
                <w:rFonts w:ascii="나눔바른고딕" w:eastAsia="나눔바른고딕" w:hAnsi="나눔바른고딕" w:cs="굴림" w:hint="eastAsia"/>
                <w:color w:val="000000"/>
                <w:kern w:val="0"/>
                <w:szCs w:val="20"/>
              </w:rPr>
              <w:br/>
              <w:t>나. 과세</w:t>
            </w:r>
            <w:r w:rsidRPr="00DA075A">
              <w:rPr>
                <w:rFonts w:ascii="나눔바른고딕" w:eastAsia="나눔바른고딕" w:hAnsi="나눔바른고딕" w:cs="굴림" w:hint="eastAsia"/>
                <w:color w:val="000000"/>
                <w:kern w:val="0"/>
                <w:szCs w:val="20"/>
              </w:rPr>
              <w:br/>
              <w:t>3)수익자에 대한 과세율</w:t>
            </w:r>
          </w:p>
        </w:tc>
        <w:tc>
          <w:tcPr>
            <w:tcW w:w="2235" w:type="dxa"/>
            <w:tcMar>
              <w:top w:w="30" w:type="dxa"/>
              <w:left w:w="60" w:type="dxa"/>
              <w:bottom w:w="0" w:type="dxa"/>
              <w:right w:w="60" w:type="dxa"/>
            </w:tcMar>
            <w:vAlign w:val="cente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소득세법 개정사항 반영</w:t>
            </w:r>
          </w:p>
        </w:tc>
        <w:tc>
          <w:tcPr>
            <w:tcW w:w="2265" w:type="dxa"/>
            <w:tcMar>
              <w:top w:w="30" w:type="dxa"/>
              <w:left w:w="60" w:type="dxa"/>
              <w:bottom w:w="0" w:type="dxa"/>
              <w:right w:w="60" w:type="dxa"/>
            </w:tcMa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수익자에 대한 과세율 : </w:t>
            </w:r>
            <w:r w:rsidRPr="00DA075A">
              <w:rPr>
                <w:rFonts w:ascii="나눔바른고딕" w:eastAsia="나눔바른고딕" w:hAnsi="나눔바른고딕" w:cs="굴림" w:hint="eastAsia"/>
                <w:color w:val="000000"/>
                <w:kern w:val="0"/>
                <w:szCs w:val="20"/>
                <w:u w:val="single"/>
              </w:rPr>
              <w:t xml:space="preserve">개인 15.4%(주민세 포함), 일반법인 14%% </w:t>
            </w:r>
          </w:p>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거주자 개인이 받는 집합투자기구로부터의 과세이익에 대해서는 15.4% (소득세 14%, 주민세 1.4%)의 세율로 원천징수 됩니다. 이러한 소득은 개인의 연간 금융소득합계액(이자소득과 배당소득)이 기준금액 이하인 경우에는 분리과세 원천징수로 납세의무 종결되나, 연간 금융소득합계액(이자소득과 배당소득)이 기준금액을 초과하는 경우에는 기준금액을 초과하는 금액을 다른 종합소득(부동산임대소득, 과세소득, 기타소득)과 합산하여 개인소득세율</w:t>
            </w:r>
            <w:r w:rsidRPr="00DA075A">
              <w:rPr>
                <w:rFonts w:ascii="나눔바른고딕" w:eastAsia="나눔바른고딕" w:hAnsi="나눔바른고딕" w:cs="굴림" w:hint="eastAsia"/>
                <w:color w:val="000000"/>
                <w:kern w:val="0"/>
                <w:szCs w:val="20"/>
                <w:u w:val="single"/>
              </w:rPr>
              <w:t>(최고한도 세율 35%, 주민세3.5%)</w:t>
            </w:r>
            <w:r w:rsidRPr="00DA075A">
              <w:rPr>
                <w:rFonts w:ascii="나눔바른고딕" w:eastAsia="나눔바른고딕" w:hAnsi="나눔바른고딕" w:cs="굴림" w:hint="eastAsia"/>
                <w:color w:val="000000"/>
                <w:kern w:val="0"/>
                <w:szCs w:val="20"/>
              </w:rPr>
              <w:t xml:space="preserve">로 종합과세 됩니다. </w:t>
            </w:r>
          </w:p>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내국법인이 받는 투자신탁의 과세이익은14%의 세율로 원천징수(금융기관 등의 경우에는 제외)됩니다. 이러한 소득은 법인의 결산 시점에 투자신탁으로부터 받게 되는 수입금액과 다른 법인 수입금액 전체를 합산한 소득에 대하여 법인세율을 적용하여 과세하며, 이전에 납부한 원천징수세액은 기납부세액으로 공제 받게 됩니다.   </w:t>
            </w:r>
          </w:p>
        </w:tc>
        <w:tc>
          <w:tcPr>
            <w:tcW w:w="2310" w:type="dxa"/>
            <w:tcMar>
              <w:top w:w="30" w:type="dxa"/>
              <w:left w:w="60" w:type="dxa"/>
              <w:bottom w:w="0" w:type="dxa"/>
              <w:right w:w="60" w:type="dxa"/>
            </w:tcMar>
          </w:tcPr>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수익자에 대한 과세율 : </w:t>
            </w:r>
            <w:r w:rsidRPr="00DA075A">
              <w:rPr>
                <w:rFonts w:ascii="나눔바른고딕" w:eastAsia="나눔바른고딕" w:hAnsi="나눔바른고딕" w:cs="굴림" w:hint="eastAsia"/>
                <w:b/>
                <w:bCs/>
                <w:color w:val="000000"/>
                <w:kern w:val="0"/>
                <w:szCs w:val="20"/>
                <w:u w:val="single"/>
              </w:rPr>
              <w:t>15.4%(지방소득세 포함)</w:t>
            </w:r>
          </w:p>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 xml:space="preserve">거주자 개인이 받는 집합투자기구로부터의 과세이익에 대해서는 15.4% (소득세 14%, 지방소득세 1.4%)의 세율로 원천징수 됩니다. 이러한 소득은 개인의 연간 금융소득합계액(이자소득과 배당소득)이 기준금액 이하인 경우에는 분리과세 원천징수로 납세의무 종결되나, 연간 금융소득합계액(이자소득과 배당소득)이 기준금액을 초과하는 경우에는 기준금액을 초과하는 금액을 다른 종합소득(부동산임대소득, 과세소득, 기타소득)과 합산하여 개인소득세율로 종합과세 됩니다. </w:t>
            </w:r>
          </w:p>
          <w:p w:rsidR="00DA075A" w:rsidRPr="00DA075A" w:rsidRDefault="00DA075A" w:rsidP="0058143D">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내국법인이 받는 투자신탁의 과세이익은15.4%의 세율로 원천징수(금융기관 등의 경우에는 제외)됩니다. 이러한 소득은 법인의 결산 시점에 투자신탁으로부터 받게 되는 수입금액과 다른 법인 수입금액 전체를 합산한 소득에 대하여 법인세율을 적용하여 과세하며, 이전에 납부한 원천징수세액은 기납부세액으로 공제 받게 됩니다.</w:t>
            </w:r>
          </w:p>
        </w:tc>
      </w:tr>
      <w:tr w:rsidR="00DA075A" w:rsidRPr="00DA075A" w:rsidTr="00DA075A">
        <w:trPr>
          <w:trHeight w:val="345"/>
        </w:trPr>
        <w:tc>
          <w:tcPr>
            <w:tcW w:w="9060" w:type="dxa"/>
            <w:gridSpan w:val="4"/>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제3부 집합투자기구의 재무 및 운용실적 등에 관한 사항</w:t>
            </w:r>
          </w:p>
        </w:tc>
      </w:tr>
      <w:tr w:rsidR="00DA075A" w:rsidRPr="00DA075A" w:rsidTr="00DA075A">
        <w:trPr>
          <w:trHeight w:val="60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1. 재무정보</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재무제표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r w:rsidR="00DA075A" w:rsidRPr="00DA075A" w:rsidTr="00DA075A">
        <w:trPr>
          <w:trHeight w:val="60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2. 연도별 설정 및 환매 현황</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재무제표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r w:rsidR="00DA075A" w:rsidRPr="00DA075A" w:rsidTr="00DA075A">
        <w:trPr>
          <w:trHeight w:val="600"/>
        </w:trPr>
        <w:tc>
          <w:tcPr>
            <w:tcW w:w="225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3. 집합투자기구의 운용실적</w:t>
            </w:r>
          </w:p>
        </w:tc>
        <w:tc>
          <w:tcPr>
            <w:tcW w:w="223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제1기 재무제표 확정에 따른 갱신</w:t>
            </w:r>
          </w:p>
        </w:tc>
        <w:tc>
          <w:tcPr>
            <w:tcW w:w="2265"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color w:val="000000"/>
                <w:kern w:val="0"/>
                <w:szCs w:val="20"/>
              </w:rPr>
            </w:pPr>
            <w:r w:rsidRPr="00DA075A">
              <w:rPr>
                <w:rFonts w:ascii="나눔바른고딕" w:eastAsia="나눔바른고딕" w:hAnsi="나눔바른고딕" w:cs="굴림" w:hint="eastAsia"/>
                <w:color w:val="000000"/>
                <w:kern w:val="0"/>
                <w:szCs w:val="20"/>
              </w:rPr>
              <w:t>-</w:t>
            </w:r>
          </w:p>
        </w:tc>
        <w:tc>
          <w:tcPr>
            <w:tcW w:w="2310" w:type="dxa"/>
            <w:tcMar>
              <w:top w:w="30" w:type="dxa"/>
              <w:left w:w="60" w:type="dxa"/>
              <w:bottom w:w="0" w:type="dxa"/>
              <w:right w:w="60" w:type="dxa"/>
            </w:tcMar>
            <w:vAlign w:val="center"/>
            <w:hideMark/>
          </w:tcPr>
          <w:p w:rsidR="00DA075A" w:rsidRPr="00DA075A" w:rsidRDefault="00DA075A" w:rsidP="00DA075A">
            <w:pPr>
              <w:widowControl/>
              <w:autoSpaceDE/>
              <w:autoSpaceDN/>
              <w:spacing w:line="384" w:lineRule="atLeast"/>
              <w:jc w:val="left"/>
              <w:rPr>
                <w:rFonts w:ascii="나눔바른고딕" w:eastAsia="나눔바른고딕" w:hAnsi="나눔바른고딕" w:cs="굴림"/>
                <w:b/>
                <w:bCs/>
                <w:color w:val="000000"/>
                <w:kern w:val="0"/>
                <w:szCs w:val="20"/>
                <w:u w:val="single"/>
              </w:rPr>
            </w:pPr>
            <w:r w:rsidRPr="00DA075A">
              <w:rPr>
                <w:rFonts w:ascii="나눔바른고딕" w:eastAsia="나눔바른고딕" w:hAnsi="나눔바른고딕" w:cs="굴림" w:hint="eastAsia"/>
                <w:b/>
                <w:bCs/>
                <w:color w:val="000000"/>
                <w:kern w:val="0"/>
                <w:szCs w:val="20"/>
                <w:u w:val="single"/>
              </w:rPr>
              <w:t>2017. 12. 27. 기준</w:t>
            </w:r>
          </w:p>
        </w:tc>
      </w:tr>
    </w:tbl>
    <w:p w:rsidR="00B108C1" w:rsidRPr="00B108C1" w:rsidRDefault="00B108C1" w:rsidP="00B108C1">
      <w:pPr>
        <w:widowControl/>
        <w:autoSpaceDE/>
        <w:autoSpaceDN/>
        <w:spacing w:line="384" w:lineRule="atLeas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br/>
        <w:t>&lt;정정 전&gt;</w:t>
      </w:r>
    </w:p>
    <w:tbl>
      <w:tblPr>
        <w:tblW w:w="93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
        <w:gridCol w:w="855"/>
        <w:gridCol w:w="1140"/>
        <w:gridCol w:w="1140"/>
        <w:gridCol w:w="1410"/>
        <w:gridCol w:w="1425"/>
        <w:gridCol w:w="2625"/>
      </w:tblGrid>
      <w:tr w:rsidR="00B108C1" w:rsidRPr="00B108C1" w:rsidTr="00B108C1">
        <w:trPr>
          <w:trHeight w:val="255"/>
        </w:trPr>
        <w:tc>
          <w:tcPr>
            <w:tcW w:w="1560" w:type="dxa"/>
            <w:gridSpan w:val="2"/>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p>
        </w:tc>
        <w:tc>
          <w:tcPr>
            <w:tcW w:w="2280" w:type="dxa"/>
            <w:gridSpan w:val="2"/>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center"/>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비중</w:t>
            </w:r>
          </w:p>
        </w:tc>
        <w:tc>
          <w:tcPr>
            <w:tcW w:w="1410"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 xml:space="preserve">Gross </w:t>
            </w:r>
            <w:r w:rsidRPr="00B108C1">
              <w:rPr>
                <w:rFonts w:ascii="나눔바른고딕" w:eastAsia="나눔바른고딕" w:hAnsi="나눔바른고딕" w:cs="굴림" w:hint="eastAsia"/>
                <w:b/>
                <w:color w:val="000000"/>
                <w:kern w:val="0"/>
                <w:szCs w:val="20"/>
              </w:rPr>
              <w:br/>
              <w:t>Exposure</w:t>
            </w:r>
          </w:p>
        </w:tc>
        <w:tc>
          <w:tcPr>
            <w:tcW w:w="1425"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 xml:space="preserve">Net </w:t>
            </w:r>
          </w:p>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Exposure</w:t>
            </w:r>
          </w:p>
        </w:tc>
        <w:tc>
          <w:tcPr>
            <w:tcW w:w="2625"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center"/>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비고</w:t>
            </w:r>
          </w:p>
        </w:tc>
      </w:tr>
      <w:tr w:rsidR="00B108C1" w:rsidRPr="00B108C1" w:rsidTr="00B108C1">
        <w:trPr>
          <w:trHeight w:val="255"/>
        </w:trPr>
        <w:tc>
          <w:tcPr>
            <w:tcW w:w="0" w:type="auto"/>
            <w:gridSpan w:val="2"/>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1140" w:type="dxa"/>
            <w:tcBorders>
              <w:top w:val="single" w:sz="4"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롱</w:t>
            </w:r>
          </w:p>
        </w:tc>
        <w:tc>
          <w:tcPr>
            <w:tcW w:w="1140" w:type="dxa"/>
            <w:tcBorders>
              <w:top w:val="single" w:sz="4"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숏</w:t>
            </w: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r>
      <w:tr w:rsidR="00B108C1" w:rsidRPr="00B108C1" w:rsidTr="00B108C1">
        <w:trPr>
          <w:trHeight w:val="255"/>
        </w:trPr>
        <w:tc>
          <w:tcPr>
            <w:tcW w:w="70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w:t>
            </w:r>
          </w:p>
        </w:tc>
        <w:tc>
          <w:tcPr>
            <w:tcW w:w="85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한국</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~20%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~20%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~40%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-20%~+20%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현물 거래</w:t>
            </w:r>
          </w:p>
        </w:tc>
      </w:tr>
      <w:tr w:rsidR="00B108C1" w:rsidRPr="00B108C1" w:rsidTr="00B108C1">
        <w:trPr>
          <w:trHeight w:val="255"/>
        </w:trPr>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85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아시아</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~50%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~50%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~100%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-20%~+20%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스왑 거래</w:t>
            </w:r>
          </w:p>
        </w:tc>
      </w:tr>
      <w:tr w:rsidR="00B108C1" w:rsidRPr="00B108C1" w:rsidTr="00B108C1">
        <w:trPr>
          <w:trHeight w:val="255"/>
        </w:trPr>
        <w:tc>
          <w:tcPr>
            <w:tcW w:w="1560" w:type="dxa"/>
            <w:gridSpan w:val="2"/>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주식투자비중</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~70%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~70%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u w:val="single"/>
              </w:rPr>
            </w:pPr>
            <w:r w:rsidRPr="00B108C1">
              <w:rPr>
                <w:rFonts w:ascii="나눔바른고딕" w:eastAsia="나눔바른고딕" w:hAnsi="나눔바른고딕" w:cs="굴림" w:hint="eastAsia"/>
                <w:color w:val="000000"/>
                <w:kern w:val="0"/>
                <w:szCs w:val="20"/>
                <w:u w:val="single"/>
              </w:rPr>
              <w:t>90~130%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-30%~+30%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p>
        </w:tc>
      </w:tr>
      <w:tr w:rsidR="00B108C1" w:rsidRPr="00B108C1" w:rsidTr="00B108C1">
        <w:trPr>
          <w:trHeight w:val="255"/>
        </w:trPr>
        <w:tc>
          <w:tcPr>
            <w:tcW w:w="70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채권</w:t>
            </w:r>
          </w:p>
        </w:tc>
        <w:tc>
          <w:tcPr>
            <w:tcW w:w="85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한국</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~70%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262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 매입 및 스왑 거래의 증거금을 제외한 현금을 채권으로 운용</w:t>
            </w:r>
          </w:p>
        </w:tc>
      </w:tr>
      <w:tr w:rsidR="00B108C1" w:rsidRPr="00B108C1" w:rsidTr="00B108C1">
        <w:trPr>
          <w:trHeight w:val="495"/>
        </w:trPr>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85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아시아</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r>
      <w:tr w:rsidR="00B108C1" w:rsidRPr="00B108C1" w:rsidTr="00B108C1">
        <w:trPr>
          <w:trHeight w:val="255"/>
        </w:trPr>
        <w:tc>
          <w:tcPr>
            <w:tcW w:w="1560" w:type="dxa"/>
            <w:gridSpan w:val="2"/>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채권투자비중</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~70%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26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r>
    </w:tbl>
    <w:p w:rsidR="00B108C1" w:rsidRPr="00B108C1" w:rsidRDefault="00B108C1" w:rsidP="00B108C1">
      <w:pPr>
        <w:widowControl/>
        <w:autoSpaceDE/>
        <w:autoSpaceDN/>
        <w:spacing w:line="384" w:lineRule="atLeas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br/>
      </w:r>
      <w:r w:rsidRPr="00B108C1">
        <w:rPr>
          <w:rFonts w:ascii="나눔바른고딕" w:eastAsia="나눔바른고딕" w:hAnsi="나눔바른고딕" w:cs="굴림" w:hint="eastAsia"/>
          <w:b/>
          <w:bCs/>
          <w:color w:val="000000"/>
          <w:kern w:val="0"/>
          <w:szCs w:val="20"/>
          <w:u w:val="single"/>
        </w:rPr>
        <w:t>&lt;정정 후&gt;</w:t>
      </w:r>
    </w:p>
    <w:tbl>
      <w:tblPr>
        <w:tblW w:w="93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
        <w:gridCol w:w="855"/>
        <w:gridCol w:w="1140"/>
        <w:gridCol w:w="1140"/>
        <w:gridCol w:w="1410"/>
        <w:gridCol w:w="1425"/>
        <w:gridCol w:w="2625"/>
      </w:tblGrid>
      <w:tr w:rsidR="00B108C1" w:rsidRPr="00B108C1" w:rsidTr="00B108C1">
        <w:trPr>
          <w:trHeight w:val="255"/>
        </w:trPr>
        <w:tc>
          <w:tcPr>
            <w:tcW w:w="1560" w:type="dxa"/>
            <w:gridSpan w:val="2"/>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p>
        </w:tc>
        <w:tc>
          <w:tcPr>
            <w:tcW w:w="2280" w:type="dxa"/>
            <w:gridSpan w:val="2"/>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center"/>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비중</w:t>
            </w:r>
          </w:p>
        </w:tc>
        <w:tc>
          <w:tcPr>
            <w:tcW w:w="1410"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 xml:space="preserve">Gross </w:t>
            </w:r>
            <w:r w:rsidRPr="00B108C1">
              <w:rPr>
                <w:rFonts w:ascii="나눔바른고딕" w:eastAsia="나눔바른고딕" w:hAnsi="나눔바른고딕" w:cs="굴림" w:hint="eastAsia"/>
                <w:b/>
                <w:color w:val="000000"/>
                <w:kern w:val="0"/>
                <w:szCs w:val="20"/>
              </w:rPr>
              <w:br/>
              <w:t>Exposure</w:t>
            </w:r>
          </w:p>
        </w:tc>
        <w:tc>
          <w:tcPr>
            <w:tcW w:w="1425"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 xml:space="preserve">Net </w:t>
            </w:r>
          </w:p>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Exposure</w:t>
            </w:r>
          </w:p>
        </w:tc>
        <w:tc>
          <w:tcPr>
            <w:tcW w:w="2625" w:type="dxa"/>
            <w:vMerge w:val="restart"/>
            <w:tcBorders>
              <w:top w:val="single" w:sz="12"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center"/>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비고</w:t>
            </w:r>
          </w:p>
        </w:tc>
      </w:tr>
      <w:tr w:rsidR="00B108C1" w:rsidRPr="00B108C1" w:rsidTr="00B108C1">
        <w:trPr>
          <w:trHeight w:val="255"/>
        </w:trPr>
        <w:tc>
          <w:tcPr>
            <w:tcW w:w="0" w:type="auto"/>
            <w:gridSpan w:val="2"/>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1140" w:type="dxa"/>
            <w:tcBorders>
              <w:top w:val="single" w:sz="4"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롱</w:t>
            </w:r>
          </w:p>
        </w:tc>
        <w:tc>
          <w:tcPr>
            <w:tcW w:w="1140" w:type="dxa"/>
            <w:tcBorders>
              <w:top w:val="single" w:sz="4" w:space="0" w:color="auto"/>
              <w:left w:val="nil"/>
              <w:bottom w:val="single" w:sz="4" w:space="0" w:color="auto"/>
              <w:right w:val="nil"/>
            </w:tcBorders>
            <w:shd w:val="clear" w:color="auto" w:fill="D9D9D9" w:themeFill="background1" w:themeFillShade="D9"/>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color w:val="000000"/>
                <w:kern w:val="0"/>
                <w:szCs w:val="20"/>
              </w:rPr>
            </w:pPr>
            <w:r w:rsidRPr="00B108C1">
              <w:rPr>
                <w:rFonts w:ascii="나눔바른고딕" w:eastAsia="나눔바른고딕" w:hAnsi="나눔바른고딕" w:cs="굴림" w:hint="eastAsia"/>
                <w:b/>
                <w:color w:val="000000"/>
                <w:kern w:val="0"/>
                <w:szCs w:val="20"/>
              </w:rPr>
              <w:t>숏</w:t>
            </w: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r>
      <w:tr w:rsidR="00B108C1" w:rsidRPr="00B108C1" w:rsidTr="00B108C1">
        <w:trPr>
          <w:trHeight w:val="255"/>
        </w:trPr>
        <w:tc>
          <w:tcPr>
            <w:tcW w:w="70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w:t>
            </w:r>
          </w:p>
        </w:tc>
        <w:tc>
          <w:tcPr>
            <w:tcW w:w="85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한국</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~30%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~30%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~60%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-20%~+20%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현물 거래</w:t>
            </w:r>
          </w:p>
        </w:tc>
      </w:tr>
      <w:tr w:rsidR="00B108C1" w:rsidRPr="00B108C1" w:rsidTr="00B108C1">
        <w:trPr>
          <w:trHeight w:val="255"/>
        </w:trPr>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85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아시아</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~100%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~100%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~200%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-20%~+20%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스왑 거래</w:t>
            </w:r>
          </w:p>
        </w:tc>
      </w:tr>
      <w:tr w:rsidR="00B108C1" w:rsidRPr="00B108C1" w:rsidTr="00B108C1">
        <w:trPr>
          <w:trHeight w:val="255"/>
        </w:trPr>
        <w:tc>
          <w:tcPr>
            <w:tcW w:w="1560" w:type="dxa"/>
            <w:gridSpan w:val="2"/>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주식투자비중</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~130%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~130%</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b/>
                <w:bCs/>
                <w:color w:val="000000"/>
                <w:kern w:val="0"/>
                <w:szCs w:val="20"/>
                <w:u w:val="single"/>
              </w:rPr>
            </w:pPr>
            <w:r w:rsidRPr="00B108C1">
              <w:rPr>
                <w:rFonts w:ascii="나눔바른고딕" w:eastAsia="나눔바른고딕" w:hAnsi="나눔바른고딕" w:cs="굴림" w:hint="eastAsia"/>
                <w:b/>
                <w:bCs/>
                <w:color w:val="000000"/>
                <w:kern w:val="0"/>
                <w:szCs w:val="20"/>
                <w:u w:val="single"/>
              </w:rPr>
              <w:t>90~260%</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-30%~+30%</w:t>
            </w:r>
          </w:p>
        </w:tc>
        <w:tc>
          <w:tcPr>
            <w:tcW w:w="2625" w:type="dxa"/>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p>
        </w:tc>
      </w:tr>
      <w:tr w:rsidR="00B108C1" w:rsidRPr="00B108C1" w:rsidTr="00B108C1">
        <w:trPr>
          <w:trHeight w:val="255"/>
        </w:trPr>
        <w:tc>
          <w:tcPr>
            <w:tcW w:w="70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채권</w:t>
            </w:r>
          </w:p>
        </w:tc>
        <w:tc>
          <w:tcPr>
            <w:tcW w:w="85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한국</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~70%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2625" w:type="dxa"/>
            <w:vMerge w:val="restart"/>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주식 매입 및 스왑 거래의 증거금을 제외한 현금을 채권으로 운용</w:t>
            </w:r>
          </w:p>
        </w:tc>
      </w:tr>
      <w:tr w:rsidR="00B108C1" w:rsidRPr="00B108C1" w:rsidTr="00B108C1">
        <w:trPr>
          <w:trHeight w:val="495"/>
        </w:trPr>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c>
          <w:tcPr>
            <w:tcW w:w="85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아시아</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~20%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0" w:type="auto"/>
            <w:vMerge/>
            <w:tcBorders>
              <w:top w:val="single" w:sz="4" w:space="0" w:color="auto"/>
              <w:left w:val="nil"/>
              <w:bottom w:val="single" w:sz="4" w:space="0" w:color="auto"/>
              <w:right w:val="nil"/>
            </w:tcBorders>
            <w:vAlign w:val="center"/>
            <w:hideMark/>
          </w:tcPr>
          <w:p w:rsidR="00B108C1" w:rsidRPr="00B108C1" w:rsidRDefault="00B108C1" w:rsidP="00B108C1">
            <w:pPr>
              <w:widowControl/>
              <w:wordWrap/>
              <w:autoSpaceDE/>
              <w:autoSpaceDN/>
              <w:jc w:val="left"/>
              <w:rPr>
                <w:rFonts w:ascii="나눔바른고딕" w:eastAsia="나눔바른고딕" w:hAnsi="나눔바른고딕" w:cs="굴림"/>
                <w:color w:val="000000"/>
                <w:kern w:val="0"/>
                <w:szCs w:val="20"/>
              </w:rPr>
            </w:pPr>
          </w:p>
        </w:tc>
      </w:tr>
      <w:tr w:rsidR="00B108C1" w:rsidRPr="00B108C1" w:rsidTr="00B108C1">
        <w:trPr>
          <w:trHeight w:val="255"/>
        </w:trPr>
        <w:tc>
          <w:tcPr>
            <w:tcW w:w="1560" w:type="dxa"/>
            <w:gridSpan w:val="2"/>
            <w:tcBorders>
              <w:top w:val="single" w:sz="4" w:space="0" w:color="auto"/>
              <w:left w:val="nil"/>
              <w:bottom w:val="single" w:sz="4" w:space="0" w:color="auto"/>
              <w:right w:val="nil"/>
            </w:tcBorders>
            <w:tcMar>
              <w:top w:w="30" w:type="dxa"/>
              <w:left w:w="60" w:type="dxa"/>
              <w:bottom w:w="0" w:type="dxa"/>
              <w:right w:w="60" w:type="dxa"/>
            </w:tcMar>
            <w:hideMark/>
          </w:tcPr>
          <w:p w:rsidR="00B108C1" w:rsidRPr="00B108C1" w:rsidRDefault="00B108C1" w:rsidP="00B108C1">
            <w:pPr>
              <w:widowControl/>
              <w:autoSpaceDE/>
              <w:autoSpaceDN/>
              <w:spacing w:line="384" w:lineRule="atLeast"/>
              <w:jc w:val="lef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채권투자비중</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~70%</w:t>
            </w:r>
          </w:p>
        </w:tc>
        <w:tc>
          <w:tcPr>
            <w:tcW w:w="114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10"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14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c>
          <w:tcPr>
            <w:tcW w:w="2625" w:type="dxa"/>
            <w:tcBorders>
              <w:top w:val="single" w:sz="4" w:space="0" w:color="auto"/>
              <w:left w:val="nil"/>
              <w:bottom w:val="single" w:sz="4" w:space="0" w:color="auto"/>
              <w:right w:val="nil"/>
            </w:tcBorders>
            <w:tcMar>
              <w:top w:w="30" w:type="dxa"/>
              <w:left w:w="60" w:type="dxa"/>
              <w:bottom w:w="0" w:type="dxa"/>
              <w:right w:w="60" w:type="dxa"/>
            </w:tcMar>
            <w:vAlign w:val="center"/>
            <w:hideMark/>
          </w:tcPr>
          <w:p w:rsidR="00B108C1" w:rsidRPr="00B108C1" w:rsidRDefault="00B108C1" w:rsidP="00B108C1">
            <w:pPr>
              <w:widowControl/>
              <w:autoSpaceDE/>
              <w:autoSpaceDN/>
              <w:spacing w:line="384" w:lineRule="atLeast"/>
              <w:jc w:val="right"/>
              <w:rPr>
                <w:rFonts w:ascii="나눔바른고딕" w:eastAsia="나눔바른고딕" w:hAnsi="나눔바른고딕" w:cs="굴림"/>
                <w:color w:val="000000"/>
                <w:kern w:val="0"/>
                <w:szCs w:val="20"/>
              </w:rPr>
            </w:pPr>
            <w:r w:rsidRPr="00B108C1">
              <w:rPr>
                <w:rFonts w:ascii="나눔바른고딕" w:eastAsia="나눔바른고딕" w:hAnsi="나눔바른고딕" w:cs="굴림" w:hint="eastAsia"/>
                <w:color w:val="000000"/>
                <w:kern w:val="0"/>
                <w:szCs w:val="20"/>
              </w:rPr>
              <w:t>-</w:t>
            </w:r>
          </w:p>
        </w:tc>
      </w:tr>
    </w:tbl>
    <w:p w:rsidR="00B108C1" w:rsidRPr="00B108C1" w:rsidRDefault="00B108C1" w:rsidP="00B108C1">
      <w:pPr>
        <w:widowControl/>
        <w:autoSpaceDE/>
        <w:autoSpaceDN/>
        <w:spacing w:after="240" w:line="384" w:lineRule="atLeast"/>
        <w:rPr>
          <w:rFonts w:ascii="나눔바른고딕" w:eastAsia="나눔바른고딕" w:hAnsi="나눔바른고딕" w:cs="굴림"/>
          <w:color w:val="000000"/>
          <w:kern w:val="0"/>
          <w:szCs w:val="20"/>
        </w:rPr>
      </w:pPr>
    </w:p>
    <w:p w:rsidR="00C3601A" w:rsidRPr="00B108C1" w:rsidRDefault="00C3601A" w:rsidP="00B108C1">
      <w:pPr>
        <w:spacing w:beforeLines="20" w:before="72" w:line="400" w:lineRule="exact"/>
        <w:rPr>
          <w:rFonts w:ascii="나눔바른고딕" w:eastAsia="나눔바른고딕" w:hAnsi="나눔바른고딕"/>
          <w:szCs w:val="20"/>
        </w:rPr>
      </w:pPr>
    </w:p>
    <w:sectPr w:rsidR="00C3601A" w:rsidRPr="00B108C1" w:rsidSect="002E0E11">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57" w:rsidRDefault="000C7E57">
      <w:r>
        <w:separator/>
      </w:r>
    </w:p>
  </w:endnote>
  <w:endnote w:type="continuationSeparator" w:id="0">
    <w:p w:rsidR="000C7E57" w:rsidRDefault="000C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나눔바른고딕">
    <w:panose1 w:val="020B0603020101020101"/>
    <w:charset w:val="81"/>
    <w:family w:val="modern"/>
    <w:pitch w:val="variable"/>
    <w:sig w:usb0="800002A7"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6A" w:rsidRDefault="00D53411">
    <w:pPr>
      <w:pStyle w:val="a5"/>
    </w:pPr>
    <w:r w:rsidRPr="00D53411">
      <w:rPr>
        <w:noProof/>
      </w:rPr>
      <w:drawing>
        <wp:inline distT="0" distB="0" distL="0" distR="0">
          <wp:extent cx="2052000" cy="300529"/>
          <wp:effectExtent l="19050" t="0" r="5400" b="0"/>
          <wp:docPr id="3" name="그림 3" descr="S:\All member\경영지원팀\CI\CI with 트러스톤자산운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l member\경영지원팀\CI\CI with 트러스톤자산운용.jpg"/>
                  <pic:cNvPicPr>
                    <a:picLocks noChangeAspect="1" noChangeArrowheads="1"/>
                  </pic:cNvPicPr>
                </pic:nvPicPr>
                <pic:blipFill>
                  <a:blip r:embed="rId1"/>
                  <a:srcRect/>
                  <a:stretch>
                    <a:fillRect/>
                  </a:stretch>
                </pic:blipFill>
                <pic:spPr bwMode="auto">
                  <a:xfrm>
                    <a:off x="0" y="0"/>
                    <a:ext cx="2052000" cy="30052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57" w:rsidRDefault="000C7E57">
      <w:r>
        <w:separator/>
      </w:r>
    </w:p>
  </w:footnote>
  <w:footnote w:type="continuationSeparator" w:id="0">
    <w:p w:rsidR="000C7E57" w:rsidRDefault="000C7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F04"/>
    <w:multiLevelType w:val="hybridMultilevel"/>
    <w:tmpl w:val="F3CA3216"/>
    <w:lvl w:ilvl="0" w:tplc="0028429E">
      <w:start w:val="4"/>
      <w:numFmt w:val="ganada"/>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nsid w:val="3172100B"/>
    <w:multiLevelType w:val="hybridMultilevel"/>
    <w:tmpl w:val="11EA99B4"/>
    <w:lvl w:ilvl="0" w:tplc="6A98B06E">
      <w:start w:val="3"/>
      <w:numFmt w:val="bullet"/>
      <w:lvlText w:val="-"/>
      <w:lvlJc w:val="left"/>
      <w:pPr>
        <w:tabs>
          <w:tab w:val="num" w:pos="566"/>
        </w:tabs>
        <w:ind w:left="566" w:hanging="360"/>
      </w:pPr>
      <w:rPr>
        <w:rFonts w:ascii="굴림" w:eastAsia="굴림" w:hAnsi="굴림" w:cs="굴림" w:hint="eastAsia"/>
      </w:rPr>
    </w:lvl>
    <w:lvl w:ilvl="1" w:tplc="04090003" w:tentative="1">
      <w:start w:val="1"/>
      <w:numFmt w:val="bullet"/>
      <w:lvlText w:val=""/>
      <w:lvlJc w:val="left"/>
      <w:pPr>
        <w:tabs>
          <w:tab w:val="num" w:pos="1006"/>
        </w:tabs>
        <w:ind w:left="1006" w:hanging="400"/>
      </w:pPr>
      <w:rPr>
        <w:rFonts w:ascii="Wingdings" w:hAnsi="Wingdings" w:hint="default"/>
      </w:rPr>
    </w:lvl>
    <w:lvl w:ilvl="2" w:tplc="04090005" w:tentative="1">
      <w:start w:val="1"/>
      <w:numFmt w:val="bullet"/>
      <w:lvlText w:val=""/>
      <w:lvlJc w:val="left"/>
      <w:pPr>
        <w:tabs>
          <w:tab w:val="num" w:pos="1406"/>
        </w:tabs>
        <w:ind w:left="1406" w:hanging="400"/>
      </w:pPr>
      <w:rPr>
        <w:rFonts w:ascii="Wingdings" w:hAnsi="Wingdings" w:hint="default"/>
      </w:rPr>
    </w:lvl>
    <w:lvl w:ilvl="3" w:tplc="04090001" w:tentative="1">
      <w:start w:val="1"/>
      <w:numFmt w:val="bullet"/>
      <w:lvlText w:val=""/>
      <w:lvlJc w:val="left"/>
      <w:pPr>
        <w:tabs>
          <w:tab w:val="num" w:pos="1806"/>
        </w:tabs>
        <w:ind w:left="1806" w:hanging="400"/>
      </w:pPr>
      <w:rPr>
        <w:rFonts w:ascii="Wingdings" w:hAnsi="Wingdings" w:hint="default"/>
      </w:rPr>
    </w:lvl>
    <w:lvl w:ilvl="4" w:tplc="04090003" w:tentative="1">
      <w:start w:val="1"/>
      <w:numFmt w:val="bullet"/>
      <w:lvlText w:val=""/>
      <w:lvlJc w:val="left"/>
      <w:pPr>
        <w:tabs>
          <w:tab w:val="num" w:pos="2206"/>
        </w:tabs>
        <w:ind w:left="2206" w:hanging="400"/>
      </w:pPr>
      <w:rPr>
        <w:rFonts w:ascii="Wingdings" w:hAnsi="Wingdings" w:hint="default"/>
      </w:rPr>
    </w:lvl>
    <w:lvl w:ilvl="5" w:tplc="04090005" w:tentative="1">
      <w:start w:val="1"/>
      <w:numFmt w:val="bullet"/>
      <w:lvlText w:val=""/>
      <w:lvlJc w:val="left"/>
      <w:pPr>
        <w:tabs>
          <w:tab w:val="num" w:pos="2606"/>
        </w:tabs>
        <w:ind w:left="2606" w:hanging="400"/>
      </w:pPr>
      <w:rPr>
        <w:rFonts w:ascii="Wingdings" w:hAnsi="Wingdings" w:hint="default"/>
      </w:rPr>
    </w:lvl>
    <w:lvl w:ilvl="6" w:tplc="04090001" w:tentative="1">
      <w:start w:val="1"/>
      <w:numFmt w:val="bullet"/>
      <w:lvlText w:val=""/>
      <w:lvlJc w:val="left"/>
      <w:pPr>
        <w:tabs>
          <w:tab w:val="num" w:pos="3006"/>
        </w:tabs>
        <w:ind w:left="3006" w:hanging="400"/>
      </w:pPr>
      <w:rPr>
        <w:rFonts w:ascii="Wingdings" w:hAnsi="Wingdings" w:hint="default"/>
      </w:rPr>
    </w:lvl>
    <w:lvl w:ilvl="7" w:tplc="04090003" w:tentative="1">
      <w:start w:val="1"/>
      <w:numFmt w:val="bullet"/>
      <w:lvlText w:val=""/>
      <w:lvlJc w:val="left"/>
      <w:pPr>
        <w:tabs>
          <w:tab w:val="num" w:pos="3406"/>
        </w:tabs>
        <w:ind w:left="3406" w:hanging="400"/>
      </w:pPr>
      <w:rPr>
        <w:rFonts w:ascii="Wingdings" w:hAnsi="Wingdings" w:hint="default"/>
      </w:rPr>
    </w:lvl>
    <w:lvl w:ilvl="8" w:tplc="04090005" w:tentative="1">
      <w:start w:val="1"/>
      <w:numFmt w:val="bullet"/>
      <w:lvlText w:val=""/>
      <w:lvlJc w:val="left"/>
      <w:pPr>
        <w:tabs>
          <w:tab w:val="num" w:pos="3806"/>
        </w:tabs>
        <w:ind w:left="3806" w:hanging="400"/>
      </w:pPr>
      <w:rPr>
        <w:rFonts w:ascii="Wingdings" w:hAnsi="Wingdings" w:hint="default"/>
      </w:rPr>
    </w:lvl>
  </w:abstractNum>
  <w:abstractNum w:abstractNumId="2">
    <w:nsid w:val="362146EB"/>
    <w:multiLevelType w:val="hybridMultilevel"/>
    <w:tmpl w:val="2BE8F2A4"/>
    <w:lvl w:ilvl="0" w:tplc="2F1A50F4">
      <w:start w:val="1"/>
      <w:numFmt w:val="ganada"/>
      <w:lvlText w:val="%1."/>
      <w:lvlJc w:val="left"/>
      <w:pPr>
        <w:tabs>
          <w:tab w:val="num" w:pos="366"/>
        </w:tabs>
        <w:ind w:left="366" w:hanging="360"/>
      </w:pPr>
      <w:rPr>
        <w:rFonts w:hint="default"/>
      </w:rPr>
    </w:lvl>
    <w:lvl w:ilvl="1" w:tplc="04090019" w:tentative="1">
      <w:start w:val="1"/>
      <w:numFmt w:val="upperLetter"/>
      <w:lvlText w:val="%2."/>
      <w:lvlJc w:val="left"/>
      <w:pPr>
        <w:tabs>
          <w:tab w:val="num" w:pos="806"/>
        </w:tabs>
        <w:ind w:left="806" w:hanging="400"/>
      </w:pPr>
    </w:lvl>
    <w:lvl w:ilvl="2" w:tplc="0409001B" w:tentative="1">
      <w:start w:val="1"/>
      <w:numFmt w:val="lowerRoman"/>
      <w:lvlText w:val="%3."/>
      <w:lvlJc w:val="right"/>
      <w:pPr>
        <w:tabs>
          <w:tab w:val="num" w:pos="1206"/>
        </w:tabs>
        <w:ind w:left="1206" w:hanging="400"/>
      </w:pPr>
    </w:lvl>
    <w:lvl w:ilvl="3" w:tplc="0409000F" w:tentative="1">
      <w:start w:val="1"/>
      <w:numFmt w:val="decimal"/>
      <w:lvlText w:val="%4."/>
      <w:lvlJc w:val="left"/>
      <w:pPr>
        <w:tabs>
          <w:tab w:val="num" w:pos="1606"/>
        </w:tabs>
        <w:ind w:left="1606" w:hanging="400"/>
      </w:pPr>
    </w:lvl>
    <w:lvl w:ilvl="4" w:tplc="04090019" w:tentative="1">
      <w:start w:val="1"/>
      <w:numFmt w:val="upperLetter"/>
      <w:lvlText w:val="%5."/>
      <w:lvlJc w:val="left"/>
      <w:pPr>
        <w:tabs>
          <w:tab w:val="num" w:pos="2006"/>
        </w:tabs>
        <w:ind w:left="2006" w:hanging="400"/>
      </w:pPr>
    </w:lvl>
    <w:lvl w:ilvl="5" w:tplc="0409001B" w:tentative="1">
      <w:start w:val="1"/>
      <w:numFmt w:val="lowerRoman"/>
      <w:lvlText w:val="%6."/>
      <w:lvlJc w:val="right"/>
      <w:pPr>
        <w:tabs>
          <w:tab w:val="num" w:pos="2406"/>
        </w:tabs>
        <w:ind w:left="2406" w:hanging="400"/>
      </w:pPr>
    </w:lvl>
    <w:lvl w:ilvl="6" w:tplc="0409000F" w:tentative="1">
      <w:start w:val="1"/>
      <w:numFmt w:val="decimal"/>
      <w:lvlText w:val="%7."/>
      <w:lvlJc w:val="left"/>
      <w:pPr>
        <w:tabs>
          <w:tab w:val="num" w:pos="2806"/>
        </w:tabs>
        <w:ind w:left="2806" w:hanging="400"/>
      </w:pPr>
    </w:lvl>
    <w:lvl w:ilvl="7" w:tplc="04090019" w:tentative="1">
      <w:start w:val="1"/>
      <w:numFmt w:val="upperLetter"/>
      <w:lvlText w:val="%8."/>
      <w:lvlJc w:val="left"/>
      <w:pPr>
        <w:tabs>
          <w:tab w:val="num" w:pos="3206"/>
        </w:tabs>
        <w:ind w:left="3206" w:hanging="400"/>
      </w:pPr>
    </w:lvl>
    <w:lvl w:ilvl="8" w:tplc="0409001B" w:tentative="1">
      <w:start w:val="1"/>
      <w:numFmt w:val="lowerRoman"/>
      <w:lvlText w:val="%9."/>
      <w:lvlJc w:val="right"/>
      <w:pPr>
        <w:tabs>
          <w:tab w:val="num" w:pos="3606"/>
        </w:tabs>
        <w:ind w:left="3606"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92"/>
    <w:rsid w:val="00006592"/>
    <w:rsid w:val="00011B60"/>
    <w:rsid w:val="00012434"/>
    <w:rsid w:val="00014F85"/>
    <w:rsid w:val="00021D46"/>
    <w:rsid w:val="00025A35"/>
    <w:rsid w:val="00031B7C"/>
    <w:rsid w:val="00041134"/>
    <w:rsid w:val="0004207F"/>
    <w:rsid w:val="00042F89"/>
    <w:rsid w:val="00044F8A"/>
    <w:rsid w:val="000466AC"/>
    <w:rsid w:val="0004759A"/>
    <w:rsid w:val="000508AF"/>
    <w:rsid w:val="00051719"/>
    <w:rsid w:val="000524AD"/>
    <w:rsid w:val="00053DA8"/>
    <w:rsid w:val="00054090"/>
    <w:rsid w:val="00056829"/>
    <w:rsid w:val="00060AA6"/>
    <w:rsid w:val="00060FFD"/>
    <w:rsid w:val="00061ADA"/>
    <w:rsid w:val="00071572"/>
    <w:rsid w:val="00076D19"/>
    <w:rsid w:val="0007732A"/>
    <w:rsid w:val="00077F4C"/>
    <w:rsid w:val="00083724"/>
    <w:rsid w:val="00084D31"/>
    <w:rsid w:val="00085FF6"/>
    <w:rsid w:val="0008694E"/>
    <w:rsid w:val="00086DA1"/>
    <w:rsid w:val="00087710"/>
    <w:rsid w:val="00090E2D"/>
    <w:rsid w:val="00095CC5"/>
    <w:rsid w:val="00097EC2"/>
    <w:rsid w:val="000A242F"/>
    <w:rsid w:val="000A2EF8"/>
    <w:rsid w:val="000A5E85"/>
    <w:rsid w:val="000A60EE"/>
    <w:rsid w:val="000A7E4F"/>
    <w:rsid w:val="000B64CC"/>
    <w:rsid w:val="000C00C2"/>
    <w:rsid w:val="000C037B"/>
    <w:rsid w:val="000C271E"/>
    <w:rsid w:val="000C7E57"/>
    <w:rsid w:val="000D05BB"/>
    <w:rsid w:val="000D1347"/>
    <w:rsid w:val="000D6055"/>
    <w:rsid w:val="000D620B"/>
    <w:rsid w:val="000E0F20"/>
    <w:rsid w:val="000E37F4"/>
    <w:rsid w:val="000E48EE"/>
    <w:rsid w:val="000E5597"/>
    <w:rsid w:val="000E71FF"/>
    <w:rsid w:val="000E7A0A"/>
    <w:rsid w:val="000F0350"/>
    <w:rsid w:val="000F0FA1"/>
    <w:rsid w:val="000F3761"/>
    <w:rsid w:val="000F4FE8"/>
    <w:rsid w:val="00113E21"/>
    <w:rsid w:val="00114F59"/>
    <w:rsid w:val="0011772C"/>
    <w:rsid w:val="00120645"/>
    <w:rsid w:val="00122861"/>
    <w:rsid w:val="00123601"/>
    <w:rsid w:val="0012396B"/>
    <w:rsid w:val="00126B6A"/>
    <w:rsid w:val="00135C14"/>
    <w:rsid w:val="00135FEF"/>
    <w:rsid w:val="00142831"/>
    <w:rsid w:val="001533B2"/>
    <w:rsid w:val="00154E09"/>
    <w:rsid w:val="0015665B"/>
    <w:rsid w:val="00163552"/>
    <w:rsid w:val="00164CD1"/>
    <w:rsid w:val="0016512A"/>
    <w:rsid w:val="00170156"/>
    <w:rsid w:val="001748E4"/>
    <w:rsid w:val="001773FE"/>
    <w:rsid w:val="00177F97"/>
    <w:rsid w:val="001837ED"/>
    <w:rsid w:val="00184BDF"/>
    <w:rsid w:val="00186CFF"/>
    <w:rsid w:val="001906E4"/>
    <w:rsid w:val="001920FE"/>
    <w:rsid w:val="00194BD1"/>
    <w:rsid w:val="001A2F5F"/>
    <w:rsid w:val="001A7A97"/>
    <w:rsid w:val="001B0499"/>
    <w:rsid w:val="001B41CE"/>
    <w:rsid w:val="001B4789"/>
    <w:rsid w:val="001B4BF4"/>
    <w:rsid w:val="001B4C6A"/>
    <w:rsid w:val="001B5250"/>
    <w:rsid w:val="001B6315"/>
    <w:rsid w:val="001B651F"/>
    <w:rsid w:val="001B6E3B"/>
    <w:rsid w:val="001C1FD5"/>
    <w:rsid w:val="001C5AF4"/>
    <w:rsid w:val="001C63EB"/>
    <w:rsid w:val="001C6A76"/>
    <w:rsid w:val="001C7784"/>
    <w:rsid w:val="001D5D14"/>
    <w:rsid w:val="001D7763"/>
    <w:rsid w:val="001E0443"/>
    <w:rsid w:val="001E0EF3"/>
    <w:rsid w:val="001E11D6"/>
    <w:rsid w:val="001E24B8"/>
    <w:rsid w:val="001E456A"/>
    <w:rsid w:val="001E6BE0"/>
    <w:rsid w:val="001F00B9"/>
    <w:rsid w:val="001F2949"/>
    <w:rsid w:val="001F2AF8"/>
    <w:rsid w:val="001F4286"/>
    <w:rsid w:val="00200701"/>
    <w:rsid w:val="00201067"/>
    <w:rsid w:val="0020222E"/>
    <w:rsid w:val="00202D32"/>
    <w:rsid w:val="002139B6"/>
    <w:rsid w:val="002167FE"/>
    <w:rsid w:val="00217E05"/>
    <w:rsid w:val="002206E0"/>
    <w:rsid w:val="00221D8D"/>
    <w:rsid w:val="00223933"/>
    <w:rsid w:val="00223A74"/>
    <w:rsid w:val="00225CC0"/>
    <w:rsid w:val="0022742F"/>
    <w:rsid w:val="00232FCC"/>
    <w:rsid w:val="00236D47"/>
    <w:rsid w:val="00237127"/>
    <w:rsid w:val="00242AEF"/>
    <w:rsid w:val="00247F8C"/>
    <w:rsid w:val="0025457D"/>
    <w:rsid w:val="00257F9A"/>
    <w:rsid w:val="0026296F"/>
    <w:rsid w:val="00267044"/>
    <w:rsid w:val="002700DA"/>
    <w:rsid w:val="00270FED"/>
    <w:rsid w:val="00271E72"/>
    <w:rsid w:val="002723DE"/>
    <w:rsid w:val="00273C09"/>
    <w:rsid w:val="0028511A"/>
    <w:rsid w:val="00291506"/>
    <w:rsid w:val="0029781B"/>
    <w:rsid w:val="002A34E3"/>
    <w:rsid w:val="002A57BF"/>
    <w:rsid w:val="002A728E"/>
    <w:rsid w:val="002B6975"/>
    <w:rsid w:val="002B764A"/>
    <w:rsid w:val="002C082A"/>
    <w:rsid w:val="002C447B"/>
    <w:rsid w:val="002C54E8"/>
    <w:rsid w:val="002C6AE4"/>
    <w:rsid w:val="002D27EA"/>
    <w:rsid w:val="002D4F20"/>
    <w:rsid w:val="002D5208"/>
    <w:rsid w:val="002E0C61"/>
    <w:rsid w:val="002E0E11"/>
    <w:rsid w:val="002E2E33"/>
    <w:rsid w:val="002E4891"/>
    <w:rsid w:val="002E5C0B"/>
    <w:rsid w:val="002E615E"/>
    <w:rsid w:val="002F2F11"/>
    <w:rsid w:val="002F3313"/>
    <w:rsid w:val="002F5990"/>
    <w:rsid w:val="002F6F98"/>
    <w:rsid w:val="00300750"/>
    <w:rsid w:val="003010D0"/>
    <w:rsid w:val="003049DC"/>
    <w:rsid w:val="0030787E"/>
    <w:rsid w:val="00311EF9"/>
    <w:rsid w:val="00312685"/>
    <w:rsid w:val="00322FA0"/>
    <w:rsid w:val="00327855"/>
    <w:rsid w:val="00330633"/>
    <w:rsid w:val="00331434"/>
    <w:rsid w:val="00332EDC"/>
    <w:rsid w:val="003374E7"/>
    <w:rsid w:val="003377BB"/>
    <w:rsid w:val="003400E8"/>
    <w:rsid w:val="003440C2"/>
    <w:rsid w:val="0035713D"/>
    <w:rsid w:val="003632A7"/>
    <w:rsid w:val="00363BBB"/>
    <w:rsid w:val="003648F6"/>
    <w:rsid w:val="0036504D"/>
    <w:rsid w:val="00374D2F"/>
    <w:rsid w:val="00377F4C"/>
    <w:rsid w:val="003811FB"/>
    <w:rsid w:val="0038300E"/>
    <w:rsid w:val="003858FB"/>
    <w:rsid w:val="00390389"/>
    <w:rsid w:val="003A6A5E"/>
    <w:rsid w:val="003A6CDF"/>
    <w:rsid w:val="003B037F"/>
    <w:rsid w:val="003B0E92"/>
    <w:rsid w:val="003B2B90"/>
    <w:rsid w:val="003B5CEC"/>
    <w:rsid w:val="003B678F"/>
    <w:rsid w:val="003B6B9E"/>
    <w:rsid w:val="003C1F4B"/>
    <w:rsid w:val="003C6BCD"/>
    <w:rsid w:val="003C6E58"/>
    <w:rsid w:val="003C7694"/>
    <w:rsid w:val="003D0F0B"/>
    <w:rsid w:val="003D47EC"/>
    <w:rsid w:val="003D7939"/>
    <w:rsid w:val="003D79E6"/>
    <w:rsid w:val="003D7FBE"/>
    <w:rsid w:val="003E1509"/>
    <w:rsid w:val="003E1946"/>
    <w:rsid w:val="003E2373"/>
    <w:rsid w:val="003E3022"/>
    <w:rsid w:val="003E6F1F"/>
    <w:rsid w:val="003F29A9"/>
    <w:rsid w:val="003F50E0"/>
    <w:rsid w:val="003F7696"/>
    <w:rsid w:val="0040170F"/>
    <w:rsid w:val="004019CA"/>
    <w:rsid w:val="004028DC"/>
    <w:rsid w:val="00402950"/>
    <w:rsid w:val="00406EC0"/>
    <w:rsid w:val="00407524"/>
    <w:rsid w:val="00412E53"/>
    <w:rsid w:val="00413DCE"/>
    <w:rsid w:val="00414BBF"/>
    <w:rsid w:val="004165CA"/>
    <w:rsid w:val="00427AA9"/>
    <w:rsid w:val="00427EBD"/>
    <w:rsid w:val="00435840"/>
    <w:rsid w:val="00435D7E"/>
    <w:rsid w:val="00436636"/>
    <w:rsid w:val="00436D12"/>
    <w:rsid w:val="00446A56"/>
    <w:rsid w:val="004531BB"/>
    <w:rsid w:val="00460A25"/>
    <w:rsid w:val="00463400"/>
    <w:rsid w:val="004643A9"/>
    <w:rsid w:val="0046441D"/>
    <w:rsid w:val="00467CFC"/>
    <w:rsid w:val="00470E36"/>
    <w:rsid w:val="0047686B"/>
    <w:rsid w:val="00476D7B"/>
    <w:rsid w:val="00477708"/>
    <w:rsid w:val="00477C8D"/>
    <w:rsid w:val="00480C36"/>
    <w:rsid w:val="004862E6"/>
    <w:rsid w:val="0049017C"/>
    <w:rsid w:val="004925B5"/>
    <w:rsid w:val="0049646D"/>
    <w:rsid w:val="004964D8"/>
    <w:rsid w:val="004A1A51"/>
    <w:rsid w:val="004A1CE7"/>
    <w:rsid w:val="004A57E1"/>
    <w:rsid w:val="004A7E44"/>
    <w:rsid w:val="004B1CE3"/>
    <w:rsid w:val="004C16B1"/>
    <w:rsid w:val="004D2140"/>
    <w:rsid w:val="004D27E8"/>
    <w:rsid w:val="004D2B52"/>
    <w:rsid w:val="004D2BBA"/>
    <w:rsid w:val="004D46A3"/>
    <w:rsid w:val="004D63D2"/>
    <w:rsid w:val="004D670F"/>
    <w:rsid w:val="004E07B8"/>
    <w:rsid w:val="004E6B2B"/>
    <w:rsid w:val="004F0EC9"/>
    <w:rsid w:val="004F310A"/>
    <w:rsid w:val="004F3BFD"/>
    <w:rsid w:val="004F5373"/>
    <w:rsid w:val="004F5424"/>
    <w:rsid w:val="004F5DAA"/>
    <w:rsid w:val="005007DF"/>
    <w:rsid w:val="00521EC9"/>
    <w:rsid w:val="00523120"/>
    <w:rsid w:val="005235B2"/>
    <w:rsid w:val="005272D5"/>
    <w:rsid w:val="00527394"/>
    <w:rsid w:val="005342CA"/>
    <w:rsid w:val="005403A9"/>
    <w:rsid w:val="005404A3"/>
    <w:rsid w:val="00545406"/>
    <w:rsid w:val="0054666F"/>
    <w:rsid w:val="00547981"/>
    <w:rsid w:val="00547C56"/>
    <w:rsid w:val="00553C08"/>
    <w:rsid w:val="005550BD"/>
    <w:rsid w:val="00567C68"/>
    <w:rsid w:val="0057238C"/>
    <w:rsid w:val="00572D30"/>
    <w:rsid w:val="00574C3B"/>
    <w:rsid w:val="00575D91"/>
    <w:rsid w:val="005771B8"/>
    <w:rsid w:val="005815D7"/>
    <w:rsid w:val="0058292F"/>
    <w:rsid w:val="00584766"/>
    <w:rsid w:val="0058671B"/>
    <w:rsid w:val="00590D28"/>
    <w:rsid w:val="00591426"/>
    <w:rsid w:val="00591536"/>
    <w:rsid w:val="0059185B"/>
    <w:rsid w:val="00591E2B"/>
    <w:rsid w:val="00592ADF"/>
    <w:rsid w:val="00595310"/>
    <w:rsid w:val="00596825"/>
    <w:rsid w:val="00596929"/>
    <w:rsid w:val="005A44E0"/>
    <w:rsid w:val="005A55D2"/>
    <w:rsid w:val="005A6738"/>
    <w:rsid w:val="005B230A"/>
    <w:rsid w:val="005C1AE2"/>
    <w:rsid w:val="005C2C89"/>
    <w:rsid w:val="005C61F9"/>
    <w:rsid w:val="005C6C61"/>
    <w:rsid w:val="005C7226"/>
    <w:rsid w:val="005D1194"/>
    <w:rsid w:val="005D2D8A"/>
    <w:rsid w:val="005D3D6A"/>
    <w:rsid w:val="005D4DA3"/>
    <w:rsid w:val="005D5ACF"/>
    <w:rsid w:val="005D79F1"/>
    <w:rsid w:val="005E1208"/>
    <w:rsid w:val="005E2688"/>
    <w:rsid w:val="005E3DC8"/>
    <w:rsid w:val="005E405E"/>
    <w:rsid w:val="00601675"/>
    <w:rsid w:val="0060368A"/>
    <w:rsid w:val="0060375B"/>
    <w:rsid w:val="00606583"/>
    <w:rsid w:val="00606AE8"/>
    <w:rsid w:val="00610689"/>
    <w:rsid w:val="00615EA7"/>
    <w:rsid w:val="00616390"/>
    <w:rsid w:val="00620C65"/>
    <w:rsid w:val="00622F4C"/>
    <w:rsid w:val="00624619"/>
    <w:rsid w:val="006254B4"/>
    <w:rsid w:val="00626F05"/>
    <w:rsid w:val="00627BDA"/>
    <w:rsid w:val="00630CFD"/>
    <w:rsid w:val="00633D63"/>
    <w:rsid w:val="006366C2"/>
    <w:rsid w:val="006376FF"/>
    <w:rsid w:val="006426CF"/>
    <w:rsid w:val="006449CC"/>
    <w:rsid w:val="006505A5"/>
    <w:rsid w:val="00652CF1"/>
    <w:rsid w:val="00660784"/>
    <w:rsid w:val="00660C9C"/>
    <w:rsid w:val="006618EB"/>
    <w:rsid w:val="00661E36"/>
    <w:rsid w:val="00663A1A"/>
    <w:rsid w:val="006717E7"/>
    <w:rsid w:val="006718C7"/>
    <w:rsid w:val="00671E95"/>
    <w:rsid w:val="0067334A"/>
    <w:rsid w:val="006742F8"/>
    <w:rsid w:val="00680236"/>
    <w:rsid w:val="00692695"/>
    <w:rsid w:val="00694ED6"/>
    <w:rsid w:val="006B3401"/>
    <w:rsid w:val="006C2054"/>
    <w:rsid w:val="006C25B5"/>
    <w:rsid w:val="006D0E28"/>
    <w:rsid w:val="006D15A9"/>
    <w:rsid w:val="006D2591"/>
    <w:rsid w:val="006D3AB2"/>
    <w:rsid w:val="006E1D8A"/>
    <w:rsid w:val="006E6EC0"/>
    <w:rsid w:val="006F06E7"/>
    <w:rsid w:val="006F1F51"/>
    <w:rsid w:val="006F3713"/>
    <w:rsid w:val="006F3DF8"/>
    <w:rsid w:val="006F5305"/>
    <w:rsid w:val="006F5F98"/>
    <w:rsid w:val="006F7C0A"/>
    <w:rsid w:val="007032DA"/>
    <w:rsid w:val="007133E3"/>
    <w:rsid w:val="00716715"/>
    <w:rsid w:val="00716E76"/>
    <w:rsid w:val="00720AE4"/>
    <w:rsid w:val="007233C8"/>
    <w:rsid w:val="00725444"/>
    <w:rsid w:val="0073098D"/>
    <w:rsid w:val="00730D3D"/>
    <w:rsid w:val="007321F6"/>
    <w:rsid w:val="00737D20"/>
    <w:rsid w:val="007404D0"/>
    <w:rsid w:val="00741475"/>
    <w:rsid w:val="00742B39"/>
    <w:rsid w:val="00751E30"/>
    <w:rsid w:val="00755822"/>
    <w:rsid w:val="00755AB8"/>
    <w:rsid w:val="00757DD3"/>
    <w:rsid w:val="00757FA3"/>
    <w:rsid w:val="00760A11"/>
    <w:rsid w:val="00767292"/>
    <w:rsid w:val="0077045B"/>
    <w:rsid w:val="00770EA2"/>
    <w:rsid w:val="007722D2"/>
    <w:rsid w:val="00776897"/>
    <w:rsid w:val="0078040A"/>
    <w:rsid w:val="00781508"/>
    <w:rsid w:val="00784D5B"/>
    <w:rsid w:val="00785AF4"/>
    <w:rsid w:val="00791A05"/>
    <w:rsid w:val="00793B01"/>
    <w:rsid w:val="007944D5"/>
    <w:rsid w:val="00795DD8"/>
    <w:rsid w:val="007964B4"/>
    <w:rsid w:val="007966BD"/>
    <w:rsid w:val="007A141B"/>
    <w:rsid w:val="007A3F92"/>
    <w:rsid w:val="007A45C6"/>
    <w:rsid w:val="007A461A"/>
    <w:rsid w:val="007A4E3C"/>
    <w:rsid w:val="007B0F42"/>
    <w:rsid w:val="007B5F8B"/>
    <w:rsid w:val="007B74AC"/>
    <w:rsid w:val="007C0BDC"/>
    <w:rsid w:val="007C2DB3"/>
    <w:rsid w:val="007C5661"/>
    <w:rsid w:val="007D45DC"/>
    <w:rsid w:val="007D4AE8"/>
    <w:rsid w:val="007D571A"/>
    <w:rsid w:val="007E04C0"/>
    <w:rsid w:val="007E14B3"/>
    <w:rsid w:val="007E39E8"/>
    <w:rsid w:val="007F0E2B"/>
    <w:rsid w:val="007F1B34"/>
    <w:rsid w:val="007F1EF9"/>
    <w:rsid w:val="007F4225"/>
    <w:rsid w:val="007F50F7"/>
    <w:rsid w:val="007F55D1"/>
    <w:rsid w:val="007F5B78"/>
    <w:rsid w:val="007F68B6"/>
    <w:rsid w:val="00800454"/>
    <w:rsid w:val="00801E0C"/>
    <w:rsid w:val="00803FD3"/>
    <w:rsid w:val="008049C0"/>
    <w:rsid w:val="00805CA0"/>
    <w:rsid w:val="00807301"/>
    <w:rsid w:val="008108FE"/>
    <w:rsid w:val="0081231B"/>
    <w:rsid w:val="00816ADB"/>
    <w:rsid w:val="00822184"/>
    <w:rsid w:val="008230C4"/>
    <w:rsid w:val="00823AF7"/>
    <w:rsid w:val="008249F5"/>
    <w:rsid w:val="00827340"/>
    <w:rsid w:val="00827847"/>
    <w:rsid w:val="008310EF"/>
    <w:rsid w:val="0083115F"/>
    <w:rsid w:val="008361E6"/>
    <w:rsid w:val="008367A7"/>
    <w:rsid w:val="00837EB1"/>
    <w:rsid w:val="00840041"/>
    <w:rsid w:val="008405A7"/>
    <w:rsid w:val="00845207"/>
    <w:rsid w:val="00845FE7"/>
    <w:rsid w:val="0084645E"/>
    <w:rsid w:val="00856066"/>
    <w:rsid w:val="008654BE"/>
    <w:rsid w:val="00870224"/>
    <w:rsid w:val="008734F1"/>
    <w:rsid w:val="00873533"/>
    <w:rsid w:val="008745A3"/>
    <w:rsid w:val="0088603D"/>
    <w:rsid w:val="00887062"/>
    <w:rsid w:val="00887E71"/>
    <w:rsid w:val="00896D99"/>
    <w:rsid w:val="008A0463"/>
    <w:rsid w:val="008A0735"/>
    <w:rsid w:val="008A6122"/>
    <w:rsid w:val="008B0972"/>
    <w:rsid w:val="008B2EAA"/>
    <w:rsid w:val="008B7A09"/>
    <w:rsid w:val="008C129D"/>
    <w:rsid w:val="008C63C1"/>
    <w:rsid w:val="008C7F92"/>
    <w:rsid w:val="008D05E8"/>
    <w:rsid w:val="008D07EA"/>
    <w:rsid w:val="008D0BEF"/>
    <w:rsid w:val="008D4701"/>
    <w:rsid w:val="008D6904"/>
    <w:rsid w:val="008E1647"/>
    <w:rsid w:val="008E4CD4"/>
    <w:rsid w:val="008E4DC5"/>
    <w:rsid w:val="008E6C94"/>
    <w:rsid w:val="008F2777"/>
    <w:rsid w:val="008F6D96"/>
    <w:rsid w:val="0090205A"/>
    <w:rsid w:val="00902EB9"/>
    <w:rsid w:val="009076E0"/>
    <w:rsid w:val="00912F96"/>
    <w:rsid w:val="009239AE"/>
    <w:rsid w:val="00924F68"/>
    <w:rsid w:val="00930D1F"/>
    <w:rsid w:val="00934555"/>
    <w:rsid w:val="0093748B"/>
    <w:rsid w:val="00941177"/>
    <w:rsid w:val="0094504C"/>
    <w:rsid w:val="009532A1"/>
    <w:rsid w:val="0095596A"/>
    <w:rsid w:val="00955CCD"/>
    <w:rsid w:val="00960374"/>
    <w:rsid w:val="00971312"/>
    <w:rsid w:val="00973586"/>
    <w:rsid w:val="00985F00"/>
    <w:rsid w:val="00991D01"/>
    <w:rsid w:val="00997512"/>
    <w:rsid w:val="009A003B"/>
    <w:rsid w:val="009A2D6F"/>
    <w:rsid w:val="009A315C"/>
    <w:rsid w:val="009A4F45"/>
    <w:rsid w:val="009A7A3E"/>
    <w:rsid w:val="009B0958"/>
    <w:rsid w:val="009B11CB"/>
    <w:rsid w:val="009B3C28"/>
    <w:rsid w:val="009B409B"/>
    <w:rsid w:val="009B7AB9"/>
    <w:rsid w:val="009C0B2C"/>
    <w:rsid w:val="009C1277"/>
    <w:rsid w:val="009C3AE8"/>
    <w:rsid w:val="009C42EA"/>
    <w:rsid w:val="009C4AE4"/>
    <w:rsid w:val="009D0F74"/>
    <w:rsid w:val="009D5292"/>
    <w:rsid w:val="009E256E"/>
    <w:rsid w:val="009E7EFC"/>
    <w:rsid w:val="009F0F21"/>
    <w:rsid w:val="009F1367"/>
    <w:rsid w:val="009F16BF"/>
    <w:rsid w:val="009F19FA"/>
    <w:rsid w:val="009F21C6"/>
    <w:rsid w:val="00A021BC"/>
    <w:rsid w:val="00A02393"/>
    <w:rsid w:val="00A04EAC"/>
    <w:rsid w:val="00A10A9D"/>
    <w:rsid w:val="00A1347E"/>
    <w:rsid w:val="00A16AC6"/>
    <w:rsid w:val="00A2024A"/>
    <w:rsid w:val="00A20F7B"/>
    <w:rsid w:val="00A22785"/>
    <w:rsid w:val="00A22EA2"/>
    <w:rsid w:val="00A24CC0"/>
    <w:rsid w:val="00A259CB"/>
    <w:rsid w:val="00A34D3A"/>
    <w:rsid w:val="00A360D5"/>
    <w:rsid w:val="00A4031C"/>
    <w:rsid w:val="00A411B7"/>
    <w:rsid w:val="00A42B5E"/>
    <w:rsid w:val="00A4371C"/>
    <w:rsid w:val="00A465F0"/>
    <w:rsid w:val="00A4698F"/>
    <w:rsid w:val="00A46B19"/>
    <w:rsid w:val="00A53919"/>
    <w:rsid w:val="00A548AA"/>
    <w:rsid w:val="00A556C3"/>
    <w:rsid w:val="00A64B5C"/>
    <w:rsid w:val="00A72D9B"/>
    <w:rsid w:val="00A771C7"/>
    <w:rsid w:val="00A84563"/>
    <w:rsid w:val="00A86570"/>
    <w:rsid w:val="00A90894"/>
    <w:rsid w:val="00A9118A"/>
    <w:rsid w:val="00A91E31"/>
    <w:rsid w:val="00A93146"/>
    <w:rsid w:val="00A964C3"/>
    <w:rsid w:val="00A96CAE"/>
    <w:rsid w:val="00A97668"/>
    <w:rsid w:val="00AA0011"/>
    <w:rsid w:val="00AA6A32"/>
    <w:rsid w:val="00AA7E85"/>
    <w:rsid w:val="00AB44CB"/>
    <w:rsid w:val="00AB67D1"/>
    <w:rsid w:val="00AB6FC3"/>
    <w:rsid w:val="00AB73F4"/>
    <w:rsid w:val="00AC4B97"/>
    <w:rsid w:val="00AC5C38"/>
    <w:rsid w:val="00AC6CFB"/>
    <w:rsid w:val="00AD1335"/>
    <w:rsid w:val="00AD5253"/>
    <w:rsid w:val="00AD688E"/>
    <w:rsid w:val="00AD7750"/>
    <w:rsid w:val="00AE0638"/>
    <w:rsid w:val="00AE1741"/>
    <w:rsid w:val="00AE21A3"/>
    <w:rsid w:val="00AE45A1"/>
    <w:rsid w:val="00AE60B3"/>
    <w:rsid w:val="00AE6667"/>
    <w:rsid w:val="00B023FB"/>
    <w:rsid w:val="00B0525B"/>
    <w:rsid w:val="00B108C1"/>
    <w:rsid w:val="00B12FB8"/>
    <w:rsid w:val="00B15F1D"/>
    <w:rsid w:val="00B16A1C"/>
    <w:rsid w:val="00B21EE4"/>
    <w:rsid w:val="00B241BE"/>
    <w:rsid w:val="00B26C47"/>
    <w:rsid w:val="00B315A6"/>
    <w:rsid w:val="00B34265"/>
    <w:rsid w:val="00B3762D"/>
    <w:rsid w:val="00B441DB"/>
    <w:rsid w:val="00B45D96"/>
    <w:rsid w:val="00B50197"/>
    <w:rsid w:val="00B502EE"/>
    <w:rsid w:val="00B5092E"/>
    <w:rsid w:val="00B53976"/>
    <w:rsid w:val="00B607FD"/>
    <w:rsid w:val="00B64440"/>
    <w:rsid w:val="00B70026"/>
    <w:rsid w:val="00B720D5"/>
    <w:rsid w:val="00B74589"/>
    <w:rsid w:val="00B80C45"/>
    <w:rsid w:val="00B82FA4"/>
    <w:rsid w:val="00B83596"/>
    <w:rsid w:val="00B83C2D"/>
    <w:rsid w:val="00B84110"/>
    <w:rsid w:val="00B856CB"/>
    <w:rsid w:val="00B87352"/>
    <w:rsid w:val="00B93087"/>
    <w:rsid w:val="00B96F3C"/>
    <w:rsid w:val="00BA6BA6"/>
    <w:rsid w:val="00BB3F5D"/>
    <w:rsid w:val="00BB4943"/>
    <w:rsid w:val="00BB6B24"/>
    <w:rsid w:val="00BC4D6C"/>
    <w:rsid w:val="00BC716C"/>
    <w:rsid w:val="00BD1E81"/>
    <w:rsid w:val="00BD251A"/>
    <w:rsid w:val="00BD3614"/>
    <w:rsid w:val="00BD50C1"/>
    <w:rsid w:val="00BD6A19"/>
    <w:rsid w:val="00BE089E"/>
    <w:rsid w:val="00BE098E"/>
    <w:rsid w:val="00BE2C36"/>
    <w:rsid w:val="00BE5BCA"/>
    <w:rsid w:val="00BE6870"/>
    <w:rsid w:val="00BE7F11"/>
    <w:rsid w:val="00BF1835"/>
    <w:rsid w:val="00BF1A4D"/>
    <w:rsid w:val="00BF24F7"/>
    <w:rsid w:val="00BF64FA"/>
    <w:rsid w:val="00BF7239"/>
    <w:rsid w:val="00C01670"/>
    <w:rsid w:val="00C02FE8"/>
    <w:rsid w:val="00C039D6"/>
    <w:rsid w:val="00C0600F"/>
    <w:rsid w:val="00C115CC"/>
    <w:rsid w:val="00C1305B"/>
    <w:rsid w:val="00C211DB"/>
    <w:rsid w:val="00C213B8"/>
    <w:rsid w:val="00C22109"/>
    <w:rsid w:val="00C275C5"/>
    <w:rsid w:val="00C317AD"/>
    <w:rsid w:val="00C32678"/>
    <w:rsid w:val="00C3601A"/>
    <w:rsid w:val="00C36242"/>
    <w:rsid w:val="00C41C35"/>
    <w:rsid w:val="00C43915"/>
    <w:rsid w:val="00C43C62"/>
    <w:rsid w:val="00C502F6"/>
    <w:rsid w:val="00C533E8"/>
    <w:rsid w:val="00C55304"/>
    <w:rsid w:val="00C71246"/>
    <w:rsid w:val="00C72872"/>
    <w:rsid w:val="00C729C1"/>
    <w:rsid w:val="00C743A1"/>
    <w:rsid w:val="00C74932"/>
    <w:rsid w:val="00C749BD"/>
    <w:rsid w:val="00C93E6C"/>
    <w:rsid w:val="00C94774"/>
    <w:rsid w:val="00C957E4"/>
    <w:rsid w:val="00C95E34"/>
    <w:rsid w:val="00CA0817"/>
    <w:rsid w:val="00CA2C67"/>
    <w:rsid w:val="00CA39E5"/>
    <w:rsid w:val="00CA6F5B"/>
    <w:rsid w:val="00CB0BD7"/>
    <w:rsid w:val="00CB3898"/>
    <w:rsid w:val="00CB4A38"/>
    <w:rsid w:val="00CB4D70"/>
    <w:rsid w:val="00CB78A0"/>
    <w:rsid w:val="00CC0A89"/>
    <w:rsid w:val="00CC4DD1"/>
    <w:rsid w:val="00CC688C"/>
    <w:rsid w:val="00CC7706"/>
    <w:rsid w:val="00CD16BA"/>
    <w:rsid w:val="00CD1D39"/>
    <w:rsid w:val="00CD293B"/>
    <w:rsid w:val="00CD2ECD"/>
    <w:rsid w:val="00CD69A8"/>
    <w:rsid w:val="00CE1ABB"/>
    <w:rsid w:val="00CE2BDE"/>
    <w:rsid w:val="00CE5F91"/>
    <w:rsid w:val="00CE766D"/>
    <w:rsid w:val="00CF7289"/>
    <w:rsid w:val="00D03311"/>
    <w:rsid w:val="00D11A6E"/>
    <w:rsid w:val="00D122BA"/>
    <w:rsid w:val="00D13A99"/>
    <w:rsid w:val="00D13C01"/>
    <w:rsid w:val="00D14090"/>
    <w:rsid w:val="00D170AF"/>
    <w:rsid w:val="00D1731A"/>
    <w:rsid w:val="00D2141E"/>
    <w:rsid w:val="00D30B8E"/>
    <w:rsid w:val="00D32A37"/>
    <w:rsid w:val="00D42ABC"/>
    <w:rsid w:val="00D43B65"/>
    <w:rsid w:val="00D4432A"/>
    <w:rsid w:val="00D52482"/>
    <w:rsid w:val="00D53312"/>
    <w:rsid w:val="00D53411"/>
    <w:rsid w:val="00D5582C"/>
    <w:rsid w:val="00D65A20"/>
    <w:rsid w:val="00D712D0"/>
    <w:rsid w:val="00D745CB"/>
    <w:rsid w:val="00D74737"/>
    <w:rsid w:val="00D777CA"/>
    <w:rsid w:val="00D91846"/>
    <w:rsid w:val="00D95F99"/>
    <w:rsid w:val="00DA075A"/>
    <w:rsid w:val="00DA3D95"/>
    <w:rsid w:val="00DA5BA3"/>
    <w:rsid w:val="00DA6652"/>
    <w:rsid w:val="00DB5788"/>
    <w:rsid w:val="00DB5E7A"/>
    <w:rsid w:val="00DB66FE"/>
    <w:rsid w:val="00DB7DA6"/>
    <w:rsid w:val="00DC2FD8"/>
    <w:rsid w:val="00DC4144"/>
    <w:rsid w:val="00DC7029"/>
    <w:rsid w:val="00DD062A"/>
    <w:rsid w:val="00DD223B"/>
    <w:rsid w:val="00DD4211"/>
    <w:rsid w:val="00DD43EB"/>
    <w:rsid w:val="00DD5145"/>
    <w:rsid w:val="00DD555D"/>
    <w:rsid w:val="00DE1A41"/>
    <w:rsid w:val="00DE2868"/>
    <w:rsid w:val="00DE33F0"/>
    <w:rsid w:val="00DE3E25"/>
    <w:rsid w:val="00DE448B"/>
    <w:rsid w:val="00DE467C"/>
    <w:rsid w:val="00DE4F5E"/>
    <w:rsid w:val="00DE57CF"/>
    <w:rsid w:val="00DE594C"/>
    <w:rsid w:val="00DF2988"/>
    <w:rsid w:val="00DF5224"/>
    <w:rsid w:val="00DF538E"/>
    <w:rsid w:val="00E00689"/>
    <w:rsid w:val="00E02F2F"/>
    <w:rsid w:val="00E03C2F"/>
    <w:rsid w:val="00E135BD"/>
    <w:rsid w:val="00E13E86"/>
    <w:rsid w:val="00E14638"/>
    <w:rsid w:val="00E15089"/>
    <w:rsid w:val="00E15524"/>
    <w:rsid w:val="00E22412"/>
    <w:rsid w:val="00E24D42"/>
    <w:rsid w:val="00E37E36"/>
    <w:rsid w:val="00E40FD1"/>
    <w:rsid w:val="00E45A06"/>
    <w:rsid w:val="00E46DB4"/>
    <w:rsid w:val="00E5280F"/>
    <w:rsid w:val="00E52CE4"/>
    <w:rsid w:val="00E54F19"/>
    <w:rsid w:val="00E60313"/>
    <w:rsid w:val="00E60817"/>
    <w:rsid w:val="00E61E9F"/>
    <w:rsid w:val="00E647C5"/>
    <w:rsid w:val="00E67A66"/>
    <w:rsid w:val="00E67CAD"/>
    <w:rsid w:val="00E70D3C"/>
    <w:rsid w:val="00E7212C"/>
    <w:rsid w:val="00E75022"/>
    <w:rsid w:val="00E7674E"/>
    <w:rsid w:val="00E82457"/>
    <w:rsid w:val="00E833AD"/>
    <w:rsid w:val="00E8463D"/>
    <w:rsid w:val="00E86865"/>
    <w:rsid w:val="00E871F6"/>
    <w:rsid w:val="00E91D8A"/>
    <w:rsid w:val="00E9249E"/>
    <w:rsid w:val="00E951C4"/>
    <w:rsid w:val="00E9703C"/>
    <w:rsid w:val="00EA0EEA"/>
    <w:rsid w:val="00EA1369"/>
    <w:rsid w:val="00EA3758"/>
    <w:rsid w:val="00EB116D"/>
    <w:rsid w:val="00EB16FB"/>
    <w:rsid w:val="00EB1BBF"/>
    <w:rsid w:val="00EB35A2"/>
    <w:rsid w:val="00EB3F55"/>
    <w:rsid w:val="00EB42B0"/>
    <w:rsid w:val="00EB5478"/>
    <w:rsid w:val="00EB6D7C"/>
    <w:rsid w:val="00EB7E80"/>
    <w:rsid w:val="00EB7EB7"/>
    <w:rsid w:val="00EC00CE"/>
    <w:rsid w:val="00EC2063"/>
    <w:rsid w:val="00EC25DA"/>
    <w:rsid w:val="00EC2DE0"/>
    <w:rsid w:val="00EC58C7"/>
    <w:rsid w:val="00EC5E0F"/>
    <w:rsid w:val="00ED2A23"/>
    <w:rsid w:val="00ED455F"/>
    <w:rsid w:val="00EE3122"/>
    <w:rsid w:val="00EE3DC7"/>
    <w:rsid w:val="00EE692E"/>
    <w:rsid w:val="00EF29FC"/>
    <w:rsid w:val="00EF4E76"/>
    <w:rsid w:val="00EF7419"/>
    <w:rsid w:val="00F0057E"/>
    <w:rsid w:val="00F01CA6"/>
    <w:rsid w:val="00F024E8"/>
    <w:rsid w:val="00F14236"/>
    <w:rsid w:val="00F15637"/>
    <w:rsid w:val="00F173DF"/>
    <w:rsid w:val="00F237E3"/>
    <w:rsid w:val="00F251F8"/>
    <w:rsid w:val="00F27C99"/>
    <w:rsid w:val="00F27F82"/>
    <w:rsid w:val="00F3220B"/>
    <w:rsid w:val="00F36861"/>
    <w:rsid w:val="00F40BAB"/>
    <w:rsid w:val="00F43068"/>
    <w:rsid w:val="00F461EE"/>
    <w:rsid w:val="00F51DD7"/>
    <w:rsid w:val="00F53611"/>
    <w:rsid w:val="00F55394"/>
    <w:rsid w:val="00F62D48"/>
    <w:rsid w:val="00F70CBD"/>
    <w:rsid w:val="00F73E63"/>
    <w:rsid w:val="00F74DFF"/>
    <w:rsid w:val="00F80A7B"/>
    <w:rsid w:val="00F82312"/>
    <w:rsid w:val="00F824CA"/>
    <w:rsid w:val="00F83257"/>
    <w:rsid w:val="00F83654"/>
    <w:rsid w:val="00F95DEC"/>
    <w:rsid w:val="00F96DD0"/>
    <w:rsid w:val="00FB05B1"/>
    <w:rsid w:val="00FB20B8"/>
    <w:rsid w:val="00FB3319"/>
    <w:rsid w:val="00FB7385"/>
    <w:rsid w:val="00FC05AC"/>
    <w:rsid w:val="00FC41FB"/>
    <w:rsid w:val="00FD2298"/>
    <w:rsid w:val="00FD2865"/>
    <w:rsid w:val="00FE0109"/>
    <w:rsid w:val="00FE07CD"/>
    <w:rsid w:val="00FE4835"/>
    <w:rsid w:val="00FE595F"/>
    <w:rsid w:val="00FF3C3C"/>
    <w:rsid w:val="00FF48C8"/>
    <w:rsid w:val="00FF67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B7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7F9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87710"/>
    <w:pPr>
      <w:tabs>
        <w:tab w:val="center" w:pos="4252"/>
        <w:tab w:val="right" w:pos="8504"/>
      </w:tabs>
      <w:snapToGrid w:val="0"/>
    </w:pPr>
  </w:style>
  <w:style w:type="paragraph" w:styleId="a5">
    <w:name w:val="footer"/>
    <w:basedOn w:val="a"/>
    <w:rsid w:val="00087710"/>
    <w:pPr>
      <w:tabs>
        <w:tab w:val="center" w:pos="4252"/>
        <w:tab w:val="right" w:pos="8504"/>
      </w:tabs>
      <w:snapToGrid w:val="0"/>
    </w:pPr>
  </w:style>
  <w:style w:type="paragraph" w:styleId="a6">
    <w:name w:val="Body Text"/>
    <w:basedOn w:val="a"/>
    <w:link w:val="Char"/>
    <w:rsid w:val="00661E36"/>
    <w:pPr>
      <w:wordWrap/>
      <w:adjustRightInd w:val="0"/>
      <w:spacing w:line="307" w:lineRule="atLeast"/>
      <w:jc w:val="left"/>
    </w:pPr>
    <w:rPr>
      <w:rFonts w:hAnsi="바탕"/>
      <w:color w:val="000000"/>
      <w:kern w:val="0"/>
      <w:sz w:val="19"/>
      <w:szCs w:val="19"/>
    </w:rPr>
  </w:style>
  <w:style w:type="paragraph" w:styleId="a7">
    <w:name w:val="Normal (Web)"/>
    <w:basedOn w:val="a"/>
    <w:uiPriority w:val="99"/>
    <w:rsid w:val="00661E36"/>
    <w:rPr>
      <w:rFonts w:ascii="Times New Roman"/>
      <w:sz w:val="24"/>
    </w:rPr>
  </w:style>
  <w:style w:type="paragraph" w:customStyle="1" w:styleId="6">
    <w:name w:val="하이퍼헤딩6"/>
    <w:next w:val="a6"/>
    <w:rsid w:val="00B023FB"/>
    <w:pPr>
      <w:widowControl w:val="0"/>
      <w:autoSpaceDE w:val="0"/>
      <w:autoSpaceDN w:val="0"/>
      <w:adjustRightInd w:val="0"/>
      <w:spacing w:line="307" w:lineRule="atLeast"/>
      <w:ind w:left="864"/>
    </w:pPr>
    <w:rPr>
      <w:rFonts w:ascii="바탕" w:hAnsi="바탕"/>
      <w:b/>
      <w:bCs/>
      <w:color w:val="000000"/>
      <w:sz w:val="19"/>
      <w:szCs w:val="19"/>
    </w:rPr>
  </w:style>
  <w:style w:type="character" w:customStyle="1" w:styleId="Char">
    <w:name w:val="본문 Char"/>
    <w:basedOn w:val="a0"/>
    <w:link w:val="a6"/>
    <w:rsid w:val="00BD251A"/>
    <w:rPr>
      <w:rFonts w:ascii="바탕" w:hAnsi="바탕"/>
      <w:color w:val="000000"/>
      <w:sz w:val="19"/>
      <w:szCs w:val="19"/>
    </w:rPr>
  </w:style>
  <w:style w:type="paragraph" w:styleId="a8">
    <w:name w:val="Balloon Text"/>
    <w:basedOn w:val="a"/>
    <w:link w:val="Char0"/>
    <w:rsid w:val="00D53411"/>
    <w:rPr>
      <w:rFonts w:asciiTheme="majorHAnsi" w:eastAsiaTheme="majorEastAsia" w:hAnsiTheme="majorHAnsi" w:cstheme="majorBidi"/>
      <w:sz w:val="18"/>
      <w:szCs w:val="18"/>
    </w:rPr>
  </w:style>
  <w:style w:type="character" w:customStyle="1" w:styleId="Char0">
    <w:name w:val="풍선 도움말 텍스트 Char"/>
    <w:basedOn w:val="a0"/>
    <w:link w:val="a8"/>
    <w:rsid w:val="00D5341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B7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7F9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87710"/>
    <w:pPr>
      <w:tabs>
        <w:tab w:val="center" w:pos="4252"/>
        <w:tab w:val="right" w:pos="8504"/>
      </w:tabs>
      <w:snapToGrid w:val="0"/>
    </w:pPr>
  </w:style>
  <w:style w:type="paragraph" w:styleId="a5">
    <w:name w:val="footer"/>
    <w:basedOn w:val="a"/>
    <w:rsid w:val="00087710"/>
    <w:pPr>
      <w:tabs>
        <w:tab w:val="center" w:pos="4252"/>
        <w:tab w:val="right" w:pos="8504"/>
      </w:tabs>
      <w:snapToGrid w:val="0"/>
    </w:pPr>
  </w:style>
  <w:style w:type="paragraph" w:styleId="a6">
    <w:name w:val="Body Text"/>
    <w:basedOn w:val="a"/>
    <w:link w:val="Char"/>
    <w:rsid w:val="00661E36"/>
    <w:pPr>
      <w:wordWrap/>
      <w:adjustRightInd w:val="0"/>
      <w:spacing w:line="307" w:lineRule="atLeast"/>
      <w:jc w:val="left"/>
    </w:pPr>
    <w:rPr>
      <w:rFonts w:hAnsi="바탕"/>
      <w:color w:val="000000"/>
      <w:kern w:val="0"/>
      <w:sz w:val="19"/>
      <w:szCs w:val="19"/>
    </w:rPr>
  </w:style>
  <w:style w:type="paragraph" w:styleId="a7">
    <w:name w:val="Normal (Web)"/>
    <w:basedOn w:val="a"/>
    <w:uiPriority w:val="99"/>
    <w:rsid w:val="00661E36"/>
    <w:rPr>
      <w:rFonts w:ascii="Times New Roman"/>
      <w:sz w:val="24"/>
    </w:rPr>
  </w:style>
  <w:style w:type="paragraph" w:customStyle="1" w:styleId="6">
    <w:name w:val="하이퍼헤딩6"/>
    <w:next w:val="a6"/>
    <w:rsid w:val="00B023FB"/>
    <w:pPr>
      <w:widowControl w:val="0"/>
      <w:autoSpaceDE w:val="0"/>
      <w:autoSpaceDN w:val="0"/>
      <w:adjustRightInd w:val="0"/>
      <w:spacing w:line="307" w:lineRule="atLeast"/>
      <w:ind w:left="864"/>
    </w:pPr>
    <w:rPr>
      <w:rFonts w:ascii="바탕" w:hAnsi="바탕"/>
      <w:b/>
      <w:bCs/>
      <w:color w:val="000000"/>
      <w:sz w:val="19"/>
      <w:szCs w:val="19"/>
    </w:rPr>
  </w:style>
  <w:style w:type="character" w:customStyle="1" w:styleId="Char">
    <w:name w:val="본문 Char"/>
    <w:basedOn w:val="a0"/>
    <w:link w:val="a6"/>
    <w:rsid w:val="00BD251A"/>
    <w:rPr>
      <w:rFonts w:ascii="바탕" w:hAnsi="바탕"/>
      <w:color w:val="000000"/>
      <w:sz w:val="19"/>
      <w:szCs w:val="19"/>
    </w:rPr>
  </w:style>
  <w:style w:type="paragraph" w:styleId="a8">
    <w:name w:val="Balloon Text"/>
    <w:basedOn w:val="a"/>
    <w:link w:val="Char0"/>
    <w:rsid w:val="00D53411"/>
    <w:rPr>
      <w:rFonts w:asciiTheme="majorHAnsi" w:eastAsiaTheme="majorEastAsia" w:hAnsiTheme="majorHAnsi" w:cstheme="majorBidi"/>
      <w:sz w:val="18"/>
      <w:szCs w:val="18"/>
    </w:rPr>
  </w:style>
  <w:style w:type="character" w:customStyle="1" w:styleId="Char0">
    <w:name w:val="풍선 도움말 텍스트 Char"/>
    <w:basedOn w:val="a0"/>
    <w:link w:val="a8"/>
    <w:rsid w:val="00D534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531">
      <w:bodyDiv w:val="1"/>
      <w:marLeft w:val="300"/>
      <w:marRight w:val="0"/>
      <w:marTop w:val="0"/>
      <w:marBottom w:val="0"/>
      <w:divBdr>
        <w:top w:val="none" w:sz="0" w:space="0" w:color="auto"/>
        <w:left w:val="none" w:sz="0" w:space="0" w:color="auto"/>
        <w:bottom w:val="none" w:sz="0" w:space="0" w:color="auto"/>
        <w:right w:val="none" w:sz="0" w:space="0" w:color="auto"/>
      </w:divBdr>
    </w:div>
    <w:div w:id="42758990">
      <w:bodyDiv w:val="1"/>
      <w:marLeft w:val="300"/>
      <w:marRight w:val="0"/>
      <w:marTop w:val="0"/>
      <w:marBottom w:val="0"/>
      <w:divBdr>
        <w:top w:val="none" w:sz="0" w:space="0" w:color="auto"/>
        <w:left w:val="none" w:sz="0" w:space="0" w:color="auto"/>
        <w:bottom w:val="none" w:sz="0" w:space="0" w:color="auto"/>
        <w:right w:val="none" w:sz="0" w:space="0" w:color="auto"/>
      </w:divBdr>
    </w:div>
    <w:div w:id="104421235">
      <w:bodyDiv w:val="1"/>
      <w:marLeft w:val="300"/>
      <w:marRight w:val="0"/>
      <w:marTop w:val="0"/>
      <w:marBottom w:val="0"/>
      <w:divBdr>
        <w:top w:val="none" w:sz="0" w:space="0" w:color="auto"/>
        <w:left w:val="none" w:sz="0" w:space="0" w:color="auto"/>
        <w:bottom w:val="none" w:sz="0" w:space="0" w:color="auto"/>
        <w:right w:val="none" w:sz="0" w:space="0" w:color="auto"/>
      </w:divBdr>
    </w:div>
    <w:div w:id="155920729">
      <w:bodyDiv w:val="1"/>
      <w:marLeft w:val="300"/>
      <w:marRight w:val="0"/>
      <w:marTop w:val="0"/>
      <w:marBottom w:val="0"/>
      <w:divBdr>
        <w:top w:val="none" w:sz="0" w:space="0" w:color="auto"/>
        <w:left w:val="none" w:sz="0" w:space="0" w:color="auto"/>
        <w:bottom w:val="none" w:sz="0" w:space="0" w:color="auto"/>
        <w:right w:val="none" w:sz="0" w:space="0" w:color="auto"/>
      </w:divBdr>
    </w:div>
    <w:div w:id="351691333">
      <w:bodyDiv w:val="1"/>
      <w:marLeft w:val="300"/>
      <w:marRight w:val="0"/>
      <w:marTop w:val="0"/>
      <w:marBottom w:val="0"/>
      <w:divBdr>
        <w:top w:val="none" w:sz="0" w:space="0" w:color="auto"/>
        <w:left w:val="none" w:sz="0" w:space="0" w:color="auto"/>
        <w:bottom w:val="none" w:sz="0" w:space="0" w:color="auto"/>
        <w:right w:val="none" w:sz="0" w:space="0" w:color="auto"/>
      </w:divBdr>
    </w:div>
    <w:div w:id="376052998">
      <w:bodyDiv w:val="1"/>
      <w:marLeft w:val="300"/>
      <w:marRight w:val="0"/>
      <w:marTop w:val="0"/>
      <w:marBottom w:val="0"/>
      <w:divBdr>
        <w:top w:val="none" w:sz="0" w:space="0" w:color="auto"/>
        <w:left w:val="none" w:sz="0" w:space="0" w:color="auto"/>
        <w:bottom w:val="none" w:sz="0" w:space="0" w:color="auto"/>
        <w:right w:val="none" w:sz="0" w:space="0" w:color="auto"/>
      </w:divBdr>
    </w:div>
    <w:div w:id="517699415">
      <w:bodyDiv w:val="1"/>
      <w:marLeft w:val="300"/>
      <w:marRight w:val="0"/>
      <w:marTop w:val="0"/>
      <w:marBottom w:val="0"/>
      <w:divBdr>
        <w:top w:val="none" w:sz="0" w:space="0" w:color="auto"/>
        <w:left w:val="none" w:sz="0" w:space="0" w:color="auto"/>
        <w:bottom w:val="none" w:sz="0" w:space="0" w:color="auto"/>
        <w:right w:val="none" w:sz="0" w:space="0" w:color="auto"/>
      </w:divBdr>
    </w:div>
    <w:div w:id="773869196">
      <w:bodyDiv w:val="1"/>
      <w:marLeft w:val="300"/>
      <w:marRight w:val="0"/>
      <w:marTop w:val="0"/>
      <w:marBottom w:val="0"/>
      <w:divBdr>
        <w:top w:val="none" w:sz="0" w:space="0" w:color="auto"/>
        <w:left w:val="none" w:sz="0" w:space="0" w:color="auto"/>
        <w:bottom w:val="none" w:sz="0" w:space="0" w:color="auto"/>
        <w:right w:val="none" w:sz="0" w:space="0" w:color="auto"/>
      </w:divBdr>
    </w:div>
    <w:div w:id="793252066">
      <w:bodyDiv w:val="1"/>
      <w:marLeft w:val="300"/>
      <w:marRight w:val="0"/>
      <w:marTop w:val="0"/>
      <w:marBottom w:val="0"/>
      <w:divBdr>
        <w:top w:val="none" w:sz="0" w:space="0" w:color="auto"/>
        <w:left w:val="none" w:sz="0" w:space="0" w:color="auto"/>
        <w:bottom w:val="none" w:sz="0" w:space="0" w:color="auto"/>
        <w:right w:val="none" w:sz="0" w:space="0" w:color="auto"/>
      </w:divBdr>
    </w:div>
    <w:div w:id="856847283">
      <w:bodyDiv w:val="1"/>
      <w:marLeft w:val="300"/>
      <w:marRight w:val="0"/>
      <w:marTop w:val="0"/>
      <w:marBottom w:val="0"/>
      <w:divBdr>
        <w:top w:val="none" w:sz="0" w:space="0" w:color="auto"/>
        <w:left w:val="none" w:sz="0" w:space="0" w:color="auto"/>
        <w:bottom w:val="none" w:sz="0" w:space="0" w:color="auto"/>
        <w:right w:val="none" w:sz="0" w:space="0" w:color="auto"/>
      </w:divBdr>
    </w:div>
    <w:div w:id="887910490">
      <w:bodyDiv w:val="1"/>
      <w:marLeft w:val="300"/>
      <w:marRight w:val="0"/>
      <w:marTop w:val="0"/>
      <w:marBottom w:val="0"/>
      <w:divBdr>
        <w:top w:val="none" w:sz="0" w:space="0" w:color="auto"/>
        <w:left w:val="none" w:sz="0" w:space="0" w:color="auto"/>
        <w:bottom w:val="none" w:sz="0" w:space="0" w:color="auto"/>
        <w:right w:val="none" w:sz="0" w:space="0" w:color="auto"/>
      </w:divBdr>
    </w:div>
    <w:div w:id="973028838">
      <w:bodyDiv w:val="1"/>
      <w:marLeft w:val="300"/>
      <w:marRight w:val="0"/>
      <w:marTop w:val="0"/>
      <w:marBottom w:val="0"/>
      <w:divBdr>
        <w:top w:val="none" w:sz="0" w:space="0" w:color="auto"/>
        <w:left w:val="none" w:sz="0" w:space="0" w:color="auto"/>
        <w:bottom w:val="none" w:sz="0" w:space="0" w:color="auto"/>
        <w:right w:val="none" w:sz="0" w:space="0" w:color="auto"/>
      </w:divBdr>
    </w:div>
    <w:div w:id="979530519">
      <w:bodyDiv w:val="1"/>
      <w:marLeft w:val="300"/>
      <w:marRight w:val="0"/>
      <w:marTop w:val="0"/>
      <w:marBottom w:val="0"/>
      <w:divBdr>
        <w:top w:val="none" w:sz="0" w:space="0" w:color="auto"/>
        <w:left w:val="none" w:sz="0" w:space="0" w:color="auto"/>
        <w:bottom w:val="none" w:sz="0" w:space="0" w:color="auto"/>
        <w:right w:val="none" w:sz="0" w:space="0" w:color="auto"/>
      </w:divBdr>
    </w:div>
    <w:div w:id="990448190">
      <w:bodyDiv w:val="1"/>
      <w:marLeft w:val="300"/>
      <w:marRight w:val="0"/>
      <w:marTop w:val="0"/>
      <w:marBottom w:val="0"/>
      <w:divBdr>
        <w:top w:val="none" w:sz="0" w:space="0" w:color="auto"/>
        <w:left w:val="none" w:sz="0" w:space="0" w:color="auto"/>
        <w:bottom w:val="none" w:sz="0" w:space="0" w:color="auto"/>
        <w:right w:val="none" w:sz="0" w:space="0" w:color="auto"/>
      </w:divBdr>
    </w:div>
    <w:div w:id="1052848650">
      <w:bodyDiv w:val="1"/>
      <w:marLeft w:val="300"/>
      <w:marRight w:val="0"/>
      <w:marTop w:val="0"/>
      <w:marBottom w:val="0"/>
      <w:divBdr>
        <w:top w:val="none" w:sz="0" w:space="0" w:color="auto"/>
        <w:left w:val="none" w:sz="0" w:space="0" w:color="auto"/>
        <w:bottom w:val="none" w:sz="0" w:space="0" w:color="auto"/>
        <w:right w:val="none" w:sz="0" w:space="0" w:color="auto"/>
      </w:divBdr>
    </w:div>
    <w:div w:id="1160001632">
      <w:bodyDiv w:val="1"/>
      <w:marLeft w:val="300"/>
      <w:marRight w:val="0"/>
      <w:marTop w:val="0"/>
      <w:marBottom w:val="0"/>
      <w:divBdr>
        <w:top w:val="none" w:sz="0" w:space="0" w:color="auto"/>
        <w:left w:val="none" w:sz="0" w:space="0" w:color="auto"/>
        <w:bottom w:val="none" w:sz="0" w:space="0" w:color="auto"/>
        <w:right w:val="none" w:sz="0" w:space="0" w:color="auto"/>
      </w:divBdr>
    </w:div>
    <w:div w:id="1172064446">
      <w:bodyDiv w:val="1"/>
      <w:marLeft w:val="300"/>
      <w:marRight w:val="0"/>
      <w:marTop w:val="0"/>
      <w:marBottom w:val="0"/>
      <w:divBdr>
        <w:top w:val="none" w:sz="0" w:space="0" w:color="auto"/>
        <w:left w:val="none" w:sz="0" w:space="0" w:color="auto"/>
        <w:bottom w:val="none" w:sz="0" w:space="0" w:color="auto"/>
        <w:right w:val="none" w:sz="0" w:space="0" w:color="auto"/>
      </w:divBdr>
    </w:div>
    <w:div w:id="1186821571">
      <w:bodyDiv w:val="1"/>
      <w:marLeft w:val="300"/>
      <w:marRight w:val="0"/>
      <w:marTop w:val="0"/>
      <w:marBottom w:val="0"/>
      <w:divBdr>
        <w:top w:val="none" w:sz="0" w:space="0" w:color="auto"/>
        <w:left w:val="none" w:sz="0" w:space="0" w:color="auto"/>
        <w:bottom w:val="none" w:sz="0" w:space="0" w:color="auto"/>
        <w:right w:val="none" w:sz="0" w:space="0" w:color="auto"/>
      </w:divBdr>
    </w:div>
    <w:div w:id="1244876679">
      <w:bodyDiv w:val="1"/>
      <w:marLeft w:val="300"/>
      <w:marRight w:val="0"/>
      <w:marTop w:val="0"/>
      <w:marBottom w:val="0"/>
      <w:divBdr>
        <w:top w:val="none" w:sz="0" w:space="0" w:color="auto"/>
        <w:left w:val="none" w:sz="0" w:space="0" w:color="auto"/>
        <w:bottom w:val="none" w:sz="0" w:space="0" w:color="auto"/>
        <w:right w:val="none" w:sz="0" w:space="0" w:color="auto"/>
      </w:divBdr>
    </w:div>
    <w:div w:id="1300962619">
      <w:bodyDiv w:val="1"/>
      <w:marLeft w:val="300"/>
      <w:marRight w:val="0"/>
      <w:marTop w:val="0"/>
      <w:marBottom w:val="0"/>
      <w:divBdr>
        <w:top w:val="none" w:sz="0" w:space="0" w:color="auto"/>
        <w:left w:val="none" w:sz="0" w:space="0" w:color="auto"/>
        <w:bottom w:val="none" w:sz="0" w:space="0" w:color="auto"/>
        <w:right w:val="none" w:sz="0" w:space="0" w:color="auto"/>
      </w:divBdr>
    </w:div>
    <w:div w:id="1322390088">
      <w:bodyDiv w:val="1"/>
      <w:marLeft w:val="300"/>
      <w:marRight w:val="0"/>
      <w:marTop w:val="0"/>
      <w:marBottom w:val="0"/>
      <w:divBdr>
        <w:top w:val="none" w:sz="0" w:space="0" w:color="auto"/>
        <w:left w:val="none" w:sz="0" w:space="0" w:color="auto"/>
        <w:bottom w:val="none" w:sz="0" w:space="0" w:color="auto"/>
        <w:right w:val="none" w:sz="0" w:space="0" w:color="auto"/>
      </w:divBdr>
    </w:div>
    <w:div w:id="1348287836">
      <w:bodyDiv w:val="1"/>
      <w:marLeft w:val="300"/>
      <w:marRight w:val="0"/>
      <w:marTop w:val="0"/>
      <w:marBottom w:val="0"/>
      <w:divBdr>
        <w:top w:val="none" w:sz="0" w:space="0" w:color="auto"/>
        <w:left w:val="none" w:sz="0" w:space="0" w:color="auto"/>
        <w:bottom w:val="none" w:sz="0" w:space="0" w:color="auto"/>
        <w:right w:val="none" w:sz="0" w:space="0" w:color="auto"/>
      </w:divBdr>
    </w:div>
    <w:div w:id="1365598478">
      <w:bodyDiv w:val="1"/>
      <w:marLeft w:val="300"/>
      <w:marRight w:val="0"/>
      <w:marTop w:val="0"/>
      <w:marBottom w:val="0"/>
      <w:divBdr>
        <w:top w:val="none" w:sz="0" w:space="0" w:color="auto"/>
        <w:left w:val="none" w:sz="0" w:space="0" w:color="auto"/>
        <w:bottom w:val="none" w:sz="0" w:space="0" w:color="auto"/>
        <w:right w:val="none" w:sz="0" w:space="0" w:color="auto"/>
      </w:divBdr>
    </w:div>
    <w:div w:id="1378165000">
      <w:bodyDiv w:val="1"/>
      <w:marLeft w:val="300"/>
      <w:marRight w:val="0"/>
      <w:marTop w:val="0"/>
      <w:marBottom w:val="0"/>
      <w:divBdr>
        <w:top w:val="none" w:sz="0" w:space="0" w:color="auto"/>
        <w:left w:val="none" w:sz="0" w:space="0" w:color="auto"/>
        <w:bottom w:val="none" w:sz="0" w:space="0" w:color="auto"/>
        <w:right w:val="none" w:sz="0" w:space="0" w:color="auto"/>
      </w:divBdr>
    </w:div>
    <w:div w:id="1506826176">
      <w:bodyDiv w:val="1"/>
      <w:marLeft w:val="300"/>
      <w:marRight w:val="0"/>
      <w:marTop w:val="0"/>
      <w:marBottom w:val="0"/>
      <w:divBdr>
        <w:top w:val="none" w:sz="0" w:space="0" w:color="auto"/>
        <w:left w:val="none" w:sz="0" w:space="0" w:color="auto"/>
        <w:bottom w:val="none" w:sz="0" w:space="0" w:color="auto"/>
        <w:right w:val="none" w:sz="0" w:space="0" w:color="auto"/>
      </w:divBdr>
    </w:div>
    <w:div w:id="1634941464">
      <w:bodyDiv w:val="1"/>
      <w:marLeft w:val="300"/>
      <w:marRight w:val="0"/>
      <w:marTop w:val="0"/>
      <w:marBottom w:val="0"/>
      <w:divBdr>
        <w:top w:val="none" w:sz="0" w:space="0" w:color="auto"/>
        <w:left w:val="none" w:sz="0" w:space="0" w:color="auto"/>
        <w:bottom w:val="none" w:sz="0" w:space="0" w:color="auto"/>
        <w:right w:val="none" w:sz="0" w:space="0" w:color="auto"/>
      </w:divBdr>
    </w:div>
    <w:div w:id="1734541946">
      <w:bodyDiv w:val="1"/>
      <w:marLeft w:val="300"/>
      <w:marRight w:val="0"/>
      <w:marTop w:val="0"/>
      <w:marBottom w:val="0"/>
      <w:divBdr>
        <w:top w:val="none" w:sz="0" w:space="0" w:color="auto"/>
        <w:left w:val="none" w:sz="0" w:space="0" w:color="auto"/>
        <w:bottom w:val="none" w:sz="0" w:space="0" w:color="auto"/>
        <w:right w:val="none" w:sz="0" w:space="0" w:color="auto"/>
      </w:divBdr>
    </w:div>
    <w:div w:id="1938363704">
      <w:bodyDiv w:val="1"/>
      <w:marLeft w:val="300"/>
      <w:marRight w:val="0"/>
      <w:marTop w:val="0"/>
      <w:marBottom w:val="0"/>
      <w:divBdr>
        <w:top w:val="none" w:sz="0" w:space="0" w:color="auto"/>
        <w:left w:val="none" w:sz="0" w:space="0" w:color="auto"/>
        <w:bottom w:val="none" w:sz="0" w:space="0" w:color="auto"/>
        <w:right w:val="none" w:sz="0" w:space="0" w:color="auto"/>
      </w:divBdr>
    </w:div>
    <w:div w:id="1993220046">
      <w:bodyDiv w:val="1"/>
      <w:marLeft w:val="300"/>
      <w:marRight w:val="0"/>
      <w:marTop w:val="0"/>
      <w:marBottom w:val="0"/>
      <w:divBdr>
        <w:top w:val="none" w:sz="0" w:space="0" w:color="auto"/>
        <w:left w:val="none" w:sz="0" w:space="0" w:color="auto"/>
        <w:bottom w:val="none" w:sz="0" w:space="0" w:color="auto"/>
        <w:right w:val="none" w:sz="0" w:space="0" w:color="auto"/>
      </w:divBdr>
    </w:div>
    <w:div w:id="2073768310">
      <w:bodyDiv w:val="1"/>
      <w:marLeft w:val="300"/>
      <w:marRight w:val="0"/>
      <w:marTop w:val="0"/>
      <w:marBottom w:val="0"/>
      <w:divBdr>
        <w:top w:val="none" w:sz="0" w:space="0" w:color="auto"/>
        <w:left w:val="none" w:sz="0" w:space="0" w:color="auto"/>
        <w:bottom w:val="none" w:sz="0" w:space="0" w:color="auto"/>
        <w:right w:val="none" w:sz="0" w:space="0" w:color="auto"/>
      </w:divBdr>
    </w:div>
    <w:div w:id="2141265199">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B220C-C1D0-442F-9A83-FFB546D0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811</Words>
  <Characters>4628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판매회사 보수 인하 계획</vt:lpstr>
    </vt:vector>
  </TitlesOfParts>
  <Company>트러스톤자산운용</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판매회사 보수 인하 계획</dc:title>
  <dc:creator>yhyoon</dc:creator>
  <cp:lastModifiedBy>Kim Kyeong Ae</cp:lastModifiedBy>
  <cp:revision>10</cp:revision>
  <cp:lastPrinted>2018-02-21T01:18:00Z</cp:lastPrinted>
  <dcterms:created xsi:type="dcterms:W3CDTF">2018-02-08T05:04:00Z</dcterms:created>
  <dcterms:modified xsi:type="dcterms:W3CDTF">2018-02-27T05:03:00Z</dcterms:modified>
</cp:coreProperties>
</file>